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8ED116">
      <w:pPr>
        <w:spacing w:line="550" w:lineRule="exact"/>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区十一届人大常委会</w:t>
      </w:r>
    </w:p>
    <w:p w14:paraId="3E673357">
      <w:pPr>
        <w:spacing w:line="550" w:lineRule="exact"/>
        <w:rPr>
          <w:rFonts w:hint="default" w:ascii="Times New Roman" w:hAnsi="Times New Roman" w:eastAsia="楷体_GB2312" w:cs="Times New Roman"/>
          <w:b/>
          <w:color w:val="auto"/>
          <w:spacing w:val="-20"/>
          <w:sz w:val="32"/>
          <w:szCs w:val="32"/>
        </w:rPr>
      </w:pPr>
      <w:r>
        <w:rPr>
          <w:rFonts w:hint="default" w:ascii="Times New Roman" w:hAnsi="Times New Roman" w:eastAsia="楷体_GB2312" w:cs="Times New Roman"/>
          <w:b/>
          <w:color w:val="auto"/>
          <w:sz w:val="32"/>
          <w:szCs w:val="32"/>
        </w:rPr>
        <w:t>第</w:t>
      </w:r>
      <w:r>
        <w:rPr>
          <w:rFonts w:hint="eastAsia" w:ascii="Times New Roman" w:hAnsi="Times New Roman" w:eastAsia="楷体_GB2312" w:cs="Times New Roman"/>
          <w:b/>
          <w:color w:val="auto"/>
          <w:sz w:val="32"/>
          <w:szCs w:val="32"/>
          <w:lang w:val="en-US" w:eastAsia="zh-CN"/>
        </w:rPr>
        <w:t>二</w:t>
      </w:r>
      <w:r>
        <w:rPr>
          <w:rFonts w:hint="default" w:ascii="Times New Roman" w:hAnsi="Times New Roman" w:eastAsia="楷体_GB2312" w:cs="Times New Roman"/>
          <w:b/>
          <w:color w:val="auto"/>
          <w:sz w:val="32"/>
          <w:szCs w:val="32"/>
        </w:rPr>
        <w:t>十三次会议材料之六</w:t>
      </w:r>
    </w:p>
    <w:p w14:paraId="7337ED4A">
      <w:pPr>
        <w:spacing w:line="550" w:lineRule="exact"/>
        <w:rPr>
          <w:rFonts w:hint="default" w:ascii="Times New Roman" w:hAnsi="Times New Roman" w:eastAsia="方正小标宋简体" w:cs="Times New Roman"/>
          <w:b/>
          <w:bCs/>
          <w:color w:val="auto"/>
          <w:sz w:val="44"/>
          <w:szCs w:val="44"/>
        </w:rPr>
      </w:pPr>
    </w:p>
    <w:p w14:paraId="211E2BB6">
      <w:pPr>
        <w:widowControl/>
        <w:spacing w:line="550" w:lineRule="exact"/>
        <w:jc w:val="center"/>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rPr>
        <w:t>关于202</w:t>
      </w:r>
      <w:r>
        <w:rPr>
          <w:rFonts w:hint="default" w:ascii="Times New Roman" w:hAnsi="Times New Roman" w:eastAsia="方正小标宋简体" w:cs="Times New Roman"/>
          <w:color w:val="auto"/>
          <w:sz w:val="44"/>
          <w:szCs w:val="44"/>
          <w:lang w:val="en-US" w:eastAsia="zh-CN"/>
        </w:rPr>
        <w:t>3</w:t>
      </w:r>
      <w:r>
        <w:rPr>
          <w:rFonts w:hint="default" w:ascii="Times New Roman" w:hAnsi="Times New Roman" w:eastAsia="方正小标宋简体" w:cs="Times New Roman"/>
          <w:color w:val="auto"/>
          <w:sz w:val="44"/>
          <w:szCs w:val="44"/>
        </w:rPr>
        <w:t>年区本级财政决算和202</w:t>
      </w:r>
      <w:r>
        <w:rPr>
          <w:rFonts w:hint="default" w:ascii="Times New Roman" w:hAnsi="Times New Roman" w:eastAsia="方正小标宋简体" w:cs="Times New Roman"/>
          <w:color w:val="auto"/>
          <w:sz w:val="44"/>
          <w:szCs w:val="44"/>
          <w:lang w:val="en-US" w:eastAsia="zh-CN"/>
        </w:rPr>
        <w:t>4</w:t>
      </w:r>
      <w:r>
        <w:rPr>
          <w:rFonts w:hint="default" w:ascii="Times New Roman" w:hAnsi="Times New Roman" w:eastAsia="方正小标宋简体" w:cs="Times New Roman"/>
          <w:color w:val="auto"/>
          <w:sz w:val="44"/>
          <w:szCs w:val="44"/>
        </w:rPr>
        <w:t>年上半年财政预算执行情况的报告</w:t>
      </w:r>
    </w:p>
    <w:p w14:paraId="57B5FBC8">
      <w:pPr>
        <w:widowControl/>
        <w:spacing w:line="550" w:lineRule="exact"/>
        <w:jc w:val="center"/>
        <w:rPr>
          <w:rFonts w:hint="default" w:ascii="Times New Roman" w:hAnsi="Times New Roman" w:eastAsia="楷体_GB2312" w:cs="Times New Roman"/>
          <w:b/>
          <w:color w:val="auto"/>
          <w:kern w:val="0"/>
          <w:sz w:val="32"/>
          <w:szCs w:val="32"/>
        </w:rPr>
      </w:pPr>
      <w:r>
        <w:rPr>
          <w:rFonts w:hint="default" w:ascii="Times New Roman" w:hAnsi="Times New Roman" w:eastAsia="楷体_GB2312" w:cs="Times New Roman"/>
          <w:b/>
          <w:color w:val="auto"/>
          <w:sz w:val="32"/>
          <w:szCs w:val="32"/>
        </w:rPr>
        <w:t>（202</w:t>
      </w:r>
      <w:r>
        <w:rPr>
          <w:rFonts w:hint="default" w:ascii="Times New Roman" w:hAnsi="Times New Roman" w:eastAsia="楷体_GB2312" w:cs="Times New Roman"/>
          <w:b/>
          <w:color w:val="auto"/>
          <w:sz w:val="32"/>
          <w:szCs w:val="32"/>
          <w:lang w:val="en-US" w:eastAsia="zh-CN"/>
        </w:rPr>
        <w:t>4</w:t>
      </w:r>
      <w:r>
        <w:rPr>
          <w:rFonts w:hint="default" w:ascii="Times New Roman" w:hAnsi="Times New Roman" w:eastAsia="楷体_GB2312" w:cs="Times New Roman"/>
          <w:b/>
          <w:color w:val="auto"/>
          <w:sz w:val="32"/>
          <w:szCs w:val="32"/>
        </w:rPr>
        <w:t>年7月</w:t>
      </w:r>
      <w:r>
        <w:rPr>
          <w:rFonts w:hint="eastAsia" w:ascii="Times New Roman" w:hAnsi="Times New Roman" w:eastAsia="楷体_GB2312" w:cs="Times New Roman"/>
          <w:b/>
          <w:color w:val="auto"/>
          <w:sz w:val="32"/>
          <w:szCs w:val="32"/>
          <w:lang w:val="en-US" w:eastAsia="zh-CN"/>
        </w:rPr>
        <w:t>26</w:t>
      </w:r>
      <w:r>
        <w:rPr>
          <w:rFonts w:hint="default" w:ascii="Times New Roman" w:hAnsi="Times New Roman" w:eastAsia="楷体_GB2312" w:cs="Times New Roman"/>
          <w:b/>
          <w:color w:val="auto"/>
          <w:sz w:val="32"/>
          <w:szCs w:val="32"/>
        </w:rPr>
        <w:t>日）</w:t>
      </w:r>
    </w:p>
    <w:p w14:paraId="0DB7DF63">
      <w:pPr>
        <w:spacing w:line="550" w:lineRule="exact"/>
        <w:jc w:val="center"/>
        <w:rPr>
          <w:rFonts w:hint="default" w:ascii="Times New Roman" w:hAnsi="Times New Roman" w:eastAsia="楷体_GB2312" w:cs="Times New Roman"/>
          <w:b/>
          <w:color w:val="auto"/>
        </w:rPr>
      </w:pPr>
      <w:r>
        <w:rPr>
          <w:rFonts w:hint="default" w:ascii="Times New Roman" w:hAnsi="Times New Roman" w:eastAsia="楷体_GB2312" w:cs="Times New Roman"/>
          <w:b/>
          <w:color w:val="auto"/>
          <w:kern w:val="0"/>
          <w:sz w:val="32"/>
          <w:szCs w:val="32"/>
        </w:rPr>
        <w:t>区财政局局长 李  东</w:t>
      </w:r>
    </w:p>
    <w:p w14:paraId="665496F9">
      <w:pPr>
        <w:widowControl/>
        <w:spacing w:line="550" w:lineRule="exact"/>
        <w:rPr>
          <w:rFonts w:hint="default" w:ascii="Times New Roman" w:hAnsi="Times New Roman" w:eastAsia="楷体_GB2312" w:cs="Times New Roman"/>
          <w:b/>
          <w:color w:val="auto"/>
          <w:sz w:val="32"/>
          <w:szCs w:val="32"/>
        </w:rPr>
      </w:pPr>
    </w:p>
    <w:p w14:paraId="0D706A9B">
      <w:pPr>
        <w:keepNext w:val="0"/>
        <w:keepLines w:val="0"/>
        <w:pageBreakBefore w:val="0"/>
        <w:widowControl/>
        <w:kinsoku/>
        <w:wordWrap/>
        <w:overflowPunct/>
        <w:topLinePunct w:val="0"/>
        <w:autoSpaceDE/>
        <w:autoSpaceDN/>
        <w:bidi w:val="0"/>
        <w:adjustRightInd/>
        <w:spacing w:line="576" w:lineRule="exact"/>
        <w:ind w:left="0"/>
        <w:jc w:val="both"/>
        <w:textAlignment w:val="auto"/>
        <w:rPr>
          <w:rFonts w:hint="default" w:ascii="Times New Roman" w:hAnsi="Times New Roman" w:eastAsia="仿宋_GB2312" w:cs="Times New Roman"/>
          <w:bCs/>
          <w:color w:val="auto"/>
          <w:kern w:val="0"/>
          <w:sz w:val="32"/>
          <w:szCs w:val="32"/>
        </w:rPr>
      </w:pPr>
      <w:r>
        <w:rPr>
          <w:rFonts w:hint="default" w:ascii="Times New Roman" w:hAnsi="Times New Roman" w:eastAsia="仿宋_GB2312" w:cs="Times New Roman"/>
          <w:color w:val="auto"/>
          <w:sz w:val="32"/>
          <w:szCs w:val="32"/>
        </w:rPr>
        <w:t>区人大常委会：</w:t>
      </w:r>
    </w:p>
    <w:p w14:paraId="46FA9C4A">
      <w:pPr>
        <w:keepNext w:val="0"/>
        <w:keepLines w:val="0"/>
        <w:pageBreakBefore w:val="0"/>
        <w:kinsoku/>
        <w:wordWrap/>
        <w:overflowPunct/>
        <w:topLinePunct w:val="0"/>
        <w:autoSpaceDE/>
        <w:autoSpaceDN/>
        <w:bidi w:val="0"/>
        <w:adjustRightInd/>
        <w:spacing w:line="576" w:lineRule="exact"/>
        <w:ind w:left="0"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受区政府委托，我向区人大常委会报告202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年区本级财政决算和202</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年上半年财政预算执行情况，请予审议。</w:t>
      </w:r>
    </w:p>
    <w:p w14:paraId="2DF00EF7">
      <w:pPr>
        <w:keepNext w:val="0"/>
        <w:keepLines w:val="0"/>
        <w:pageBreakBefore w:val="0"/>
        <w:kinsoku/>
        <w:wordWrap/>
        <w:overflowPunct/>
        <w:topLinePunct w:val="0"/>
        <w:autoSpaceDE/>
        <w:autoSpaceDN/>
        <w:bidi w:val="0"/>
        <w:adjustRightInd/>
        <w:spacing w:line="576" w:lineRule="exact"/>
        <w:ind w:left="0" w:firstLine="640" w:firstLineChars="200"/>
        <w:jc w:val="both"/>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一、202</w:t>
      </w:r>
      <w:r>
        <w:rPr>
          <w:rFonts w:hint="default" w:ascii="Times New Roman" w:hAnsi="Times New Roman" w:eastAsia="黑体" w:cs="Times New Roman"/>
          <w:color w:val="auto"/>
          <w:sz w:val="32"/>
          <w:szCs w:val="32"/>
          <w:lang w:val="en-US" w:eastAsia="zh-CN"/>
        </w:rPr>
        <w:t>3</w:t>
      </w:r>
      <w:r>
        <w:rPr>
          <w:rFonts w:hint="default" w:ascii="Times New Roman" w:hAnsi="Times New Roman" w:eastAsia="黑体" w:cs="Times New Roman"/>
          <w:color w:val="auto"/>
          <w:sz w:val="32"/>
          <w:szCs w:val="32"/>
        </w:rPr>
        <w:t>年财政决算和202</w:t>
      </w:r>
      <w:r>
        <w:rPr>
          <w:rFonts w:hint="default" w:ascii="Times New Roman" w:hAnsi="Times New Roman" w:eastAsia="黑体" w:cs="Times New Roman"/>
          <w:color w:val="auto"/>
          <w:sz w:val="32"/>
          <w:szCs w:val="32"/>
          <w:lang w:val="en-US" w:eastAsia="zh-CN"/>
        </w:rPr>
        <w:t>4</w:t>
      </w:r>
      <w:r>
        <w:rPr>
          <w:rFonts w:hint="default" w:ascii="Times New Roman" w:hAnsi="Times New Roman" w:eastAsia="黑体" w:cs="Times New Roman"/>
          <w:color w:val="auto"/>
          <w:sz w:val="32"/>
          <w:szCs w:val="32"/>
        </w:rPr>
        <w:t>年上半年预算执行情况</w:t>
      </w:r>
    </w:p>
    <w:p w14:paraId="7A5A6D9D">
      <w:pPr>
        <w:keepNext w:val="0"/>
        <w:keepLines w:val="0"/>
        <w:pageBreakBefore w:val="0"/>
        <w:kinsoku/>
        <w:wordWrap/>
        <w:overflowPunct/>
        <w:topLinePunct w:val="0"/>
        <w:autoSpaceDE/>
        <w:autoSpaceDN/>
        <w:bidi w:val="0"/>
        <w:adjustRightInd/>
        <w:spacing w:line="576" w:lineRule="exact"/>
        <w:ind w:left="0" w:firstLine="482" w:firstLineChars="150"/>
        <w:jc w:val="both"/>
        <w:textAlignment w:val="auto"/>
        <w:rPr>
          <w:rFonts w:hint="default" w:ascii="Times New Roman" w:hAnsi="Times New Roman" w:eastAsia="楷体_GB2312" w:cs="Times New Roman"/>
          <w:b/>
          <w:color w:val="auto"/>
          <w:kern w:val="0"/>
          <w:sz w:val="32"/>
          <w:szCs w:val="32"/>
        </w:rPr>
      </w:pPr>
      <w:r>
        <w:rPr>
          <w:rFonts w:hint="default" w:ascii="Times New Roman" w:hAnsi="Times New Roman" w:eastAsia="楷体_GB2312" w:cs="Times New Roman"/>
          <w:b/>
          <w:color w:val="auto"/>
          <w:kern w:val="0"/>
          <w:sz w:val="32"/>
          <w:szCs w:val="32"/>
        </w:rPr>
        <w:t>（一）</w:t>
      </w:r>
      <w:r>
        <w:rPr>
          <w:rFonts w:hint="default" w:ascii="Times New Roman" w:hAnsi="Times New Roman" w:eastAsia="楷体_GB2312" w:cs="Times New Roman"/>
          <w:bCs/>
          <w:color w:val="auto"/>
          <w:kern w:val="0"/>
          <w:sz w:val="32"/>
          <w:szCs w:val="32"/>
        </w:rPr>
        <w:t>202</w:t>
      </w:r>
      <w:r>
        <w:rPr>
          <w:rFonts w:hint="default" w:ascii="Times New Roman" w:hAnsi="Times New Roman" w:eastAsia="楷体_GB2312" w:cs="Times New Roman"/>
          <w:bCs/>
          <w:color w:val="auto"/>
          <w:kern w:val="0"/>
          <w:sz w:val="32"/>
          <w:szCs w:val="32"/>
          <w:lang w:val="en-US" w:eastAsia="zh-CN"/>
        </w:rPr>
        <w:t>3</w:t>
      </w:r>
      <w:r>
        <w:rPr>
          <w:rFonts w:hint="default" w:ascii="Times New Roman" w:hAnsi="Times New Roman" w:eastAsia="楷体_GB2312" w:cs="Times New Roman"/>
          <w:b/>
          <w:color w:val="auto"/>
          <w:kern w:val="0"/>
          <w:sz w:val="32"/>
          <w:szCs w:val="32"/>
        </w:rPr>
        <w:t>年全区财政决算情况</w:t>
      </w:r>
    </w:p>
    <w:p w14:paraId="54E4F446">
      <w:pPr>
        <w:keepNext w:val="0"/>
        <w:keepLines w:val="0"/>
        <w:pageBreakBefore w:val="0"/>
        <w:kinsoku/>
        <w:wordWrap/>
        <w:overflowPunct/>
        <w:topLinePunct w:val="0"/>
        <w:autoSpaceDE/>
        <w:autoSpaceDN/>
        <w:bidi w:val="0"/>
        <w:adjustRightInd/>
        <w:spacing w:line="576" w:lineRule="exact"/>
        <w:ind w:left="0" w:firstLine="64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color w:val="auto"/>
          <w:kern w:val="0"/>
          <w:sz w:val="32"/>
          <w:szCs w:val="32"/>
        </w:rPr>
        <w:t>一般公共预算收支决算情况：</w:t>
      </w:r>
      <w:r>
        <w:rPr>
          <w:rFonts w:hint="default" w:ascii="Times New Roman" w:hAnsi="Times New Roman" w:eastAsia="仿宋_GB2312" w:cs="Times New Roman"/>
          <w:color w:val="auto"/>
          <w:sz w:val="32"/>
          <w:szCs w:val="32"/>
        </w:rPr>
        <w:t>一般公共预算收入实现6</w:t>
      </w:r>
      <w:r>
        <w:rPr>
          <w:rFonts w:hint="eastAsia" w:ascii="Times New Roman" w:hAnsi="Times New Roman" w:eastAsia="仿宋_GB2312" w:cs="Times New Roman"/>
          <w:color w:val="auto"/>
          <w:sz w:val="32"/>
          <w:szCs w:val="32"/>
          <w:lang w:val="en-US" w:eastAsia="zh-CN"/>
        </w:rPr>
        <w:t>7710万</w:t>
      </w:r>
      <w:r>
        <w:rPr>
          <w:rFonts w:hint="default" w:ascii="Times New Roman" w:hAnsi="Times New Roman" w:eastAsia="仿宋_GB2312" w:cs="Times New Roman"/>
          <w:color w:val="auto"/>
          <w:sz w:val="32"/>
          <w:szCs w:val="32"/>
        </w:rPr>
        <w:t>元，</w:t>
      </w:r>
      <w:r>
        <w:rPr>
          <w:rFonts w:hint="eastAsia" w:ascii="Times New Roman" w:hAnsi="Times New Roman" w:eastAsia="仿宋_GB2312" w:cs="Times New Roman"/>
          <w:color w:val="auto"/>
          <w:sz w:val="32"/>
          <w:szCs w:val="32"/>
          <w:lang w:eastAsia="zh-CN"/>
        </w:rPr>
        <w:t>同比</w:t>
      </w:r>
      <w:r>
        <w:rPr>
          <w:rFonts w:hint="default" w:ascii="Times New Roman" w:hAnsi="Times New Roman" w:eastAsia="仿宋_GB2312" w:cs="Times New Roman"/>
          <w:color w:val="auto"/>
          <w:sz w:val="32"/>
          <w:szCs w:val="32"/>
        </w:rPr>
        <w:t>增长</w:t>
      </w:r>
      <w:r>
        <w:rPr>
          <w:rFonts w:hint="default" w:ascii="Times New Roman" w:hAnsi="Times New Roman" w:eastAsia="仿宋_GB2312" w:cs="Times New Roman"/>
          <w:color w:val="auto"/>
          <w:sz w:val="32"/>
          <w:szCs w:val="32"/>
          <w:lang w:val="en-US" w:eastAsia="zh-CN"/>
        </w:rPr>
        <w:t>7.2</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完成</w:t>
      </w:r>
      <w:r>
        <w:rPr>
          <w:rFonts w:hint="default" w:ascii="Times New Roman" w:hAnsi="Times New Roman" w:eastAsia="仿宋_GB2312" w:cs="Times New Roman"/>
          <w:color w:val="auto"/>
          <w:sz w:val="32"/>
          <w:szCs w:val="32"/>
          <w:lang w:eastAsia="zh-CN"/>
        </w:rPr>
        <w:t>年</w:t>
      </w:r>
      <w:r>
        <w:rPr>
          <w:rFonts w:hint="default" w:ascii="Times New Roman" w:hAnsi="Times New Roman" w:eastAsia="仿宋_GB2312" w:cs="Times New Roman"/>
          <w:color w:val="auto"/>
          <w:sz w:val="32"/>
          <w:szCs w:val="32"/>
        </w:rPr>
        <w:t>预算的100.</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%。我区地方财政收入加上上级一般性转移支付收入</w:t>
      </w:r>
      <w:r>
        <w:rPr>
          <w:rFonts w:hint="default" w:ascii="Times New Roman" w:hAnsi="Times New Roman" w:eastAsia="仿宋_GB2312" w:cs="Times New Roman"/>
          <w:color w:val="auto"/>
          <w:sz w:val="32"/>
          <w:szCs w:val="32"/>
          <w:lang w:val="en-US" w:eastAsia="zh-CN"/>
        </w:rPr>
        <w:t>68980</w:t>
      </w:r>
      <w:r>
        <w:rPr>
          <w:rFonts w:hint="default" w:ascii="Times New Roman" w:hAnsi="Times New Roman" w:eastAsia="仿宋_GB2312" w:cs="Times New Roman"/>
          <w:color w:val="auto"/>
          <w:sz w:val="32"/>
          <w:szCs w:val="32"/>
        </w:rPr>
        <w:t>万元，专项转移支付收入1</w:t>
      </w:r>
      <w:r>
        <w:rPr>
          <w:rFonts w:hint="default" w:ascii="Times New Roman" w:hAnsi="Times New Roman" w:eastAsia="仿宋_GB2312" w:cs="Times New Roman"/>
          <w:color w:val="auto"/>
          <w:sz w:val="32"/>
          <w:szCs w:val="32"/>
          <w:lang w:val="en-US" w:eastAsia="zh-CN"/>
        </w:rPr>
        <w:t>3332</w:t>
      </w:r>
      <w:r>
        <w:rPr>
          <w:rFonts w:hint="default" w:ascii="Times New Roman" w:hAnsi="Times New Roman" w:eastAsia="仿宋_GB2312" w:cs="Times New Roman"/>
          <w:color w:val="auto"/>
          <w:sz w:val="32"/>
          <w:szCs w:val="32"/>
        </w:rPr>
        <w:t>万元，调入资金</w:t>
      </w:r>
      <w:r>
        <w:rPr>
          <w:rFonts w:hint="default" w:ascii="Times New Roman" w:hAnsi="Times New Roman" w:eastAsia="仿宋_GB2312" w:cs="Times New Roman"/>
          <w:color w:val="auto"/>
          <w:sz w:val="32"/>
          <w:szCs w:val="32"/>
          <w:lang w:val="en-US" w:eastAsia="zh-CN"/>
        </w:rPr>
        <w:t>42353</w:t>
      </w:r>
      <w:r>
        <w:rPr>
          <w:rFonts w:hint="default" w:ascii="Times New Roman" w:hAnsi="Times New Roman" w:eastAsia="仿宋_GB2312" w:cs="Times New Roman"/>
          <w:color w:val="auto"/>
          <w:sz w:val="32"/>
          <w:szCs w:val="32"/>
        </w:rPr>
        <w:t>万元，动用预算稳定调节基金</w:t>
      </w:r>
      <w:r>
        <w:rPr>
          <w:rFonts w:hint="default" w:ascii="Times New Roman" w:hAnsi="Times New Roman" w:eastAsia="仿宋_GB2312" w:cs="Times New Roman"/>
          <w:color w:val="auto"/>
          <w:sz w:val="32"/>
          <w:szCs w:val="32"/>
          <w:lang w:val="en-US" w:eastAsia="zh-CN"/>
        </w:rPr>
        <w:t>157</w:t>
      </w:r>
      <w:r>
        <w:rPr>
          <w:rFonts w:hint="default" w:ascii="Times New Roman" w:hAnsi="Times New Roman" w:eastAsia="仿宋_GB2312" w:cs="Times New Roman"/>
          <w:color w:val="auto"/>
          <w:sz w:val="32"/>
          <w:szCs w:val="32"/>
        </w:rPr>
        <w:t>万元，上年结余30</w:t>
      </w:r>
      <w:r>
        <w:rPr>
          <w:rFonts w:hint="default" w:ascii="Times New Roman" w:hAnsi="Times New Roman" w:eastAsia="仿宋_GB2312" w:cs="Times New Roman"/>
          <w:color w:val="auto"/>
          <w:sz w:val="32"/>
          <w:szCs w:val="32"/>
          <w:lang w:val="en-US" w:eastAsia="zh-CN"/>
        </w:rPr>
        <w:t>58</w:t>
      </w:r>
      <w:r>
        <w:rPr>
          <w:rFonts w:hint="default" w:ascii="Times New Roman" w:hAnsi="Times New Roman" w:eastAsia="仿宋_GB2312" w:cs="Times New Roman"/>
          <w:color w:val="auto"/>
          <w:sz w:val="32"/>
          <w:szCs w:val="32"/>
        </w:rPr>
        <w:t>万元，地方政府一般债务转贷收入</w:t>
      </w:r>
      <w:r>
        <w:rPr>
          <w:rFonts w:hint="default" w:ascii="Times New Roman" w:hAnsi="Times New Roman" w:eastAsia="仿宋_GB2312" w:cs="Times New Roman"/>
          <w:color w:val="auto"/>
          <w:sz w:val="32"/>
          <w:szCs w:val="32"/>
          <w:lang w:val="en-US" w:eastAsia="zh-CN"/>
        </w:rPr>
        <w:t>19116</w:t>
      </w:r>
      <w:r>
        <w:rPr>
          <w:rFonts w:hint="default" w:ascii="Times New Roman" w:hAnsi="Times New Roman" w:eastAsia="仿宋_GB2312" w:cs="Times New Roman"/>
          <w:color w:val="auto"/>
          <w:sz w:val="32"/>
          <w:szCs w:val="32"/>
        </w:rPr>
        <w:t>万元，当年全区可用财力合计</w:t>
      </w:r>
      <w:r>
        <w:rPr>
          <w:rFonts w:hint="default" w:ascii="Times New Roman" w:hAnsi="Times New Roman" w:eastAsia="仿宋_GB2312" w:cs="Times New Roman"/>
          <w:color w:val="auto"/>
          <w:sz w:val="32"/>
          <w:szCs w:val="32"/>
          <w:lang w:val="en-US" w:eastAsia="zh-CN"/>
        </w:rPr>
        <w:t>214706</w:t>
      </w:r>
      <w:r>
        <w:rPr>
          <w:rFonts w:hint="default" w:ascii="Times New Roman" w:hAnsi="Times New Roman" w:eastAsia="仿宋_GB2312" w:cs="Times New Roman"/>
          <w:color w:val="auto"/>
          <w:sz w:val="32"/>
          <w:szCs w:val="32"/>
        </w:rPr>
        <w:t>万元。202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年一般公共预算支出18</w:t>
      </w:r>
      <w:r>
        <w:rPr>
          <w:rFonts w:hint="default" w:ascii="Times New Roman" w:hAnsi="Times New Roman" w:eastAsia="仿宋_GB2312" w:cs="Times New Roman"/>
          <w:color w:val="auto"/>
          <w:sz w:val="32"/>
          <w:szCs w:val="32"/>
          <w:lang w:val="en-US" w:eastAsia="zh-CN"/>
        </w:rPr>
        <w:t>4035</w:t>
      </w:r>
      <w:r>
        <w:rPr>
          <w:rFonts w:hint="default" w:ascii="Times New Roman" w:hAnsi="Times New Roman" w:eastAsia="仿宋_GB2312" w:cs="Times New Roman"/>
          <w:color w:val="auto"/>
          <w:sz w:val="32"/>
          <w:szCs w:val="32"/>
        </w:rPr>
        <w:t>万元，上解上级支出</w:t>
      </w:r>
      <w:r>
        <w:rPr>
          <w:rFonts w:hint="default" w:ascii="Times New Roman" w:hAnsi="Times New Roman" w:eastAsia="仿宋_GB2312" w:cs="Times New Roman"/>
          <w:color w:val="auto"/>
          <w:sz w:val="32"/>
          <w:szCs w:val="32"/>
          <w:lang w:val="en-US" w:eastAsia="zh-CN"/>
        </w:rPr>
        <w:t>4593</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eastAsia="zh-CN"/>
        </w:rPr>
        <w:t>调出资金</w:t>
      </w:r>
      <w:r>
        <w:rPr>
          <w:rFonts w:hint="default" w:ascii="Times New Roman" w:hAnsi="Times New Roman" w:eastAsia="仿宋_GB2312" w:cs="Times New Roman"/>
          <w:color w:val="auto"/>
          <w:sz w:val="32"/>
          <w:szCs w:val="32"/>
          <w:lang w:val="en-US" w:eastAsia="zh-CN"/>
        </w:rPr>
        <w:t>4407万元，</w:t>
      </w:r>
      <w:r>
        <w:rPr>
          <w:rFonts w:hint="default" w:ascii="Times New Roman" w:hAnsi="Times New Roman" w:eastAsia="仿宋_GB2312" w:cs="Times New Roman"/>
          <w:color w:val="auto"/>
          <w:sz w:val="32"/>
          <w:szCs w:val="32"/>
        </w:rPr>
        <w:t>债务还本支出</w:t>
      </w:r>
      <w:r>
        <w:rPr>
          <w:rFonts w:hint="default" w:ascii="Times New Roman" w:hAnsi="Times New Roman" w:eastAsia="仿宋_GB2312" w:cs="Times New Roman"/>
          <w:color w:val="auto"/>
          <w:sz w:val="32"/>
          <w:szCs w:val="32"/>
          <w:lang w:val="en-US" w:eastAsia="zh-CN"/>
        </w:rPr>
        <w:t>18400</w:t>
      </w:r>
      <w:r>
        <w:rPr>
          <w:rFonts w:hint="default" w:ascii="Times New Roman" w:hAnsi="Times New Roman" w:eastAsia="仿宋_GB2312" w:cs="Times New Roman"/>
          <w:color w:val="auto"/>
          <w:sz w:val="32"/>
          <w:szCs w:val="32"/>
        </w:rPr>
        <w:t>万元，安排预算稳定调节基金</w:t>
      </w:r>
      <w:r>
        <w:rPr>
          <w:rFonts w:hint="default" w:ascii="Times New Roman" w:hAnsi="Times New Roman" w:eastAsia="仿宋_GB2312" w:cs="Times New Roman"/>
          <w:color w:val="auto"/>
          <w:sz w:val="32"/>
          <w:szCs w:val="32"/>
          <w:lang w:val="en-US" w:eastAsia="zh-CN"/>
        </w:rPr>
        <w:t>210</w:t>
      </w:r>
      <w:r>
        <w:rPr>
          <w:rFonts w:hint="default" w:ascii="Times New Roman" w:hAnsi="Times New Roman" w:eastAsia="仿宋_GB2312" w:cs="Times New Roman"/>
          <w:color w:val="auto"/>
          <w:sz w:val="32"/>
          <w:szCs w:val="32"/>
        </w:rPr>
        <w:t>万元，支出合计</w:t>
      </w:r>
      <w:r>
        <w:rPr>
          <w:rFonts w:hint="default" w:ascii="Times New Roman" w:hAnsi="Times New Roman" w:eastAsia="仿宋_GB2312" w:cs="Times New Roman"/>
          <w:color w:val="auto"/>
          <w:sz w:val="32"/>
          <w:szCs w:val="32"/>
          <w:lang w:val="en-US" w:eastAsia="zh-CN"/>
        </w:rPr>
        <w:t>211645</w:t>
      </w:r>
      <w:r>
        <w:rPr>
          <w:rFonts w:hint="default" w:ascii="Times New Roman" w:hAnsi="Times New Roman" w:eastAsia="仿宋_GB2312" w:cs="Times New Roman"/>
          <w:color w:val="auto"/>
          <w:sz w:val="32"/>
          <w:szCs w:val="32"/>
        </w:rPr>
        <w:t>万元，收支相抵，结余30</w:t>
      </w:r>
      <w:r>
        <w:rPr>
          <w:rFonts w:hint="default" w:ascii="Times New Roman" w:hAnsi="Times New Roman" w:eastAsia="仿宋_GB2312" w:cs="Times New Roman"/>
          <w:color w:val="auto"/>
          <w:sz w:val="32"/>
          <w:szCs w:val="32"/>
          <w:lang w:val="en-US" w:eastAsia="zh-CN"/>
        </w:rPr>
        <w:t>61</w:t>
      </w:r>
      <w:r>
        <w:rPr>
          <w:rFonts w:hint="default" w:ascii="Times New Roman" w:hAnsi="Times New Roman" w:eastAsia="仿宋_GB2312" w:cs="Times New Roman"/>
          <w:color w:val="auto"/>
          <w:sz w:val="32"/>
          <w:szCs w:val="32"/>
        </w:rPr>
        <w:t>万元。（附表一）</w:t>
      </w:r>
    </w:p>
    <w:p w14:paraId="52D17A11">
      <w:pPr>
        <w:keepNext w:val="0"/>
        <w:keepLines w:val="0"/>
        <w:pageBreakBefore w:val="0"/>
        <w:kinsoku/>
        <w:wordWrap/>
        <w:overflowPunct/>
        <w:topLinePunct w:val="0"/>
        <w:autoSpaceDE/>
        <w:autoSpaceDN/>
        <w:bidi w:val="0"/>
        <w:adjustRightInd/>
        <w:spacing w:line="576" w:lineRule="exact"/>
        <w:ind w:left="0" w:firstLine="630" w:firstLineChars="196"/>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color w:val="auto"/>
          <w:sz w:val="32"/>
          <w:szCs w:val="32"/>
        </w:rPr>
        <w:t>政府性基金预算收支决算情况：</w:t>
      </w:r>
      <w:r>
        <w:rPr>
          <w:rFonts w:hint="default" w:ascii="Times New Roman" w:hAnsi="Times New Roman" w:eastAsia="仿宋_GB2312" w:cs="Times New Roman"/>
          <w:color w:val="auto"/>
          <w:sz w:val="32"/>
          <w:szCs w:val="32"/>
        </w:rPr>
        <w:t>政府性基金上级补助收入</w:t>
      </w:r>
      <w:r>
        <w:rPr>
          <w:rFonts w:hint="default" w:ascii="Times New Roman" w:hAnsi="Times New Roman" w:eastAsia="仿宋_GB2312" w:cs="Times New Roman"/>
          <w:color w:val="auto"/>
          <w:sz w:val="32"/>
          <w:szCs w:val="32"/>
          <w:lang w:val="en-US" w:eastAsia="zh-CN"/>
        </w:rPr>
        <w:t>3226</w:t>
      </w:r>
      <w:r>
        <w:rPr>
          <w:rFonts w:hint="default" w:ascii="Times New Roman" w:hAnsi="Times New Roman" w:eastAsia="仿宋_GB2312" w:cs="Times New Roman"/>
          <w:color w:val="auto"/>
          <w:sz w:val="32"/>
          <w:szCs w:val="32"/>
        </w:rPr>
        <w:t>万元，调入资金</w:t>
      </w:r>
      <w:r>
        <w:rPr>
          <w:rFonts w:hint="default" w:ascii="Times New Roman" w:hAnsi="Times New Roman" w:eastAsia="仿宋_GB2312" w:cs="Times New Roman"/>
          <w:color w:val="auto"/>
          <w:sz w:val="32"/>
          <w:szCs w:val="32"/>
          <w:lang w:val="en-US" w:eastAsia="zh-CN"/>
        </w:rPr>
        <w:t>7830</w:t>
      </w:r>
      <w:r>
        <w:rPr>
          <w:rFonts w:hint="default" w:ascii="Times New Roman" w:hAnsi="Times New Roman" w:eastAsia="仿宋_GB2312" w:cs="Times New Roman"/>
          <w:color w:val="auto"/>
          <w:sz w:val="32"/>
          <w:szCs w:val="32"/>
        </w:rPr>
        <w:t>万元，地方政府专项债务转贷收入</w:t>
      </w:r>
      <w:r>
        <w:rPr>
          <w:rFonts w:hint="default" w:ascii="Times New Roman" w:hAnsi="Times New Roman" w:eastAsia="仿宋_GB2312" w:cs="Times New Roman"/>
          <w:color w:val="auto"/>
          <w:sz w:val="32"/>
          <w:szCs w:val="32"/>
          <w:lang w:val="en-US" w:eastAsia="zh-CN"/>
        </w:rPr>
        <w:t>216284</w:t>
      </w:r>
      <w:r>
        <w:rPr>
          <w:rFonts w:hint="default" w:ascii="Times New Roman" w:hAnsi="Times New Roman" w:eastAsia="仿宋_GB2312" w:cs="Times New Roman"/>
          <w:color w:val="auto"/>
          <w:sz w:val="32"/>
          <w:szCs w:val="32"/>
        </w:rPr>
        <w:t>万元，上年结余</w:t>
      </w:r>
      <w:r>
        <w:rPr>
          <w:rFonts w:hint="default" w:ascii="Times New Roman" w:hAnsi="Times New Roman" w:eastAsia="仿宋_GB2312" w:cs="Times New Roman"/>
          <w:color w:val="auto"/>
          <w:sz w:val="32"/>
          <w:szCs w:val="32"/>
          <w:lang w:val="en-US" w:eastAsia="zh-CN"/>
        </w:rPr>
        <w:t>212</w:t>
      </w:r>
      <w:r>
        <w:rPr>
          <w:rFonts w:hint="default" w:ascii="Times New Roman" w:hAnsi="Times New Roman" w:eastAsia="仿宋_GB2312" w:cs="Times New Roman"/>
          <w:color w:val="auto"/>
          <w:sz w:val="32"/>
          <w:szCs w:val="32"/>
        </w:rPr>
        <w:t>万元，政府性基金财力合计</w:t>
      </w:r>
      <w:r>
        <w:rPr>
          <w:rFonts w:hint="default" w:ascii="Times New Roman" w:hAnsi="Times New Roman" w:eastAsia="仿宋_GB2312" w:cs="Times New Roman"/>
          <w:color w:val="auto"/>
          <w:sz w:val="32"/>
          <w:szCs w:val="32"/>
          <w:lang w:val="en-US" w:eastAsia="zh-CN"/>
        </w:rPr>
        <w:t>227552</w:t>
      </w:r>
      <w:r>
        <w:rPr>
          <w:rFonts w:hint="default" w:ascii="Times New Roman" w:hAnsi="Times New Roman" w:eastAsia="仿宋_GB2312" w:cs="Times New Roman"/>
          <w:color w:val="auto"/>
          <w:sz w:val="32"/>
          <w:szCs w:val="32"/>
        </w:rPr>
        <w:t>万元。政府性基金预算支出</w:t>
      </w:r>
      <w:r>
        <w:rPr>
          <w:rFonts w:hint="default" w:ascii="Times New Roman" w:hAnsi="Times New Roman" w:eastAsia="仿宋_GB2312" w:cs="Times New Roman"/>
          <w:color w:val="auto"/>
          <w:sz w:val="32"/>
          <w:szCs w:val="32"/>
          <w:lang w:val="en-US" w:eastAsia="zh-CN"/>
        </w:rPr>
        <w:t>171818</w:t>
      </w:r>
      <w:r>
        <w:rPr>
          <w:rFonts w:hint="default" w:ascii="Times New Roman" w:hAnsi="Times New Roman" w:eastAsia="仿宋_GB2312" w:cs="Times New Roman"/>
          <w:color w:val="auto"/>
          <w:sz w:val="32"/>
          <w:szCs w:val="32"/>
        </w:rPr>
        <w:t>万元，主要支出项目如下：</w:t>
      </w:r>
      <w:r>
        <w:rPr>
          <w:rFonts w:hint="default" w:ascii="Times New Roman" w:hAnsi="Times New Roman" w:eastAsia="仿宋_GB2312" w:cs="Times New Roman"/>
          <w:bCs/>
          <w:color w:val="auto"/>
          <w:sz w:val="32"/>
          <w:szCs w:val="32"/>
        </w:rPr>
        <w:t>国有土地使用权出让收入安排支出</w:t>
      </w:r>
      <w:r>
        <w:rPr>
          <w:rFonts w:hint="default" w:ascii="Times New Roman" w:hAnsi="Times New Roman" w:eastAsia="仿宋_GB2312" w:cs="Times New Roman"/>
          <w:bCs/>
          <w:color w:val="auto"/>
          <w:sz w:val="32"/>
          <w:szCs w:val="32"/>
          <w:lang w:val="en-US" w:eastAsia="zh-CN"/>
        </w:rPr>
        <w:t>1608</w:t>
      </w:r>
      <w:r>
        <w:rPr>
          <w:rFonts w:hint="default" w:ascii="Times New Roman" w:hAnsi="Times New Roman" w:eastAsia="仿宋_GB2312" w:cs="Times New Roman"/>
          <w:bCs/>
          <w:color w:val="auto"/>
          <w:sz w:val="32"/>
          <w:szCs w:val="32"/>
        </w:rPr>
        <w:t>万元；专项债券收入安排支出</w:t>
      </w:r>
      <w:r>
        <w:rPr>
          <w:rFonts w:hint="default" w:ascii="Times New Roman" w:hAnsi="Times New Roman" w:eastAsia="仿宋_GB2312" w:cs="Times New Roman"/>
          <w:bCs/>
          <w:color w:val="auto"/>
          <w:sz w:val="32"/>
          <w:szCs w:val="32"/>
          <w:lang w:val="en-US" w:eastAsia="zh-CN"/>
        </w:rPr>
        <w:t>1619</w:t>
      </w:r>
      <w:r>
        <w:rPr>
          <w:rFonts w:hint="default" w:ascii="Times New Roman" w:hAnsi="Times New Roman" w:eastAsia="仿宋_GB2312" w:cs="Times New Roman"/>
          <w:bCs/>
          <w:color w:val="auto"/>
          <w:sz w:val="32"/>
          <w:szCs w:val="32"/>
        </w:rPr>
        <w:t>00万元；专项债</w:t>
      </w:r>
      <w:r>
        <w:rPr>
          <w:rFonts w:hint="eastAsia" w:ascii="Times New Roman" w:hAnsi="Times New Roman" w:eastAsia="仿宋_GB2312" w:cs="Times New Roman"/>
          <w:bCs/>
          <w:color w:val="auto"/>
          <w:sz w:val="32"/>
          <w:szCs w:val="32"/>
          <w:lang w:eastAsia="zh-CN"/>
        </w:rPr>
        <w:t>务</w:t>
      </w:r>
      <w:r>
        <w:rPr>
          <w:rFonts w:hint="default" w:ascii="Times New Roman" w:hAnsi="Times New Roman" w:eastAsia="仿宋_GB2312" w:cs="Times New Roman"/>
          <w:bCs/>
          <w:color w:val="auto"/>
          <w:sz w:val="32"/>
          <w:szCs w:val="32"/>
        </w:rPr>
        <w:t>付息支出</w:t>
      </w:r>
      <w:r>
        <w:rPr>
          <w:rFonts w:hint="default" w:ascii="Times New Roman" w:hAnsi="Times New Roman" w:eastAsia="仿宋_GB2312" w:cs="Times New Roman"/>
          <w:bCs/>
          <w:color w:val="auto"/>
          <w:sz w:val="32"/>
          <w:szCs w:val="32"/>
          <w:lang w:val="en-US" w:eastAsia="zh-CN"/>
        </w:rPr>
        <w:t>7651</w:t>
      </w:r>
      <w:r>
        <w:rPr>
          <w:rFonts w:hint="default" w:ascii="Times New Roman" w:hAnsi="Times New Roman" w:eastAsia="仿宋_GB2312" w:cs="Times New Roman"/>
          <w:bCs/>
          <w:color w:val="auto"/>
          <w:sz w:val="32"/>
          <w:szCs w:val="32"/>
        </w:rPr>
        <w:t>万元、专项债</w:t>
      </w:r>
      <w:r>
        <w:rPr>
          <w:rFonts w:hint="eastAsia" w:ascii="Times New Roman" w:hAnsi="Times New Roman" w:eastAsia="仿宋_GB2312" w:cs="Times New Roman"/>
          <w:bCs/>
          <w:color w:val="auto"/>
          <w:sz w:val="32"/>
          <w:szCs w:val="32"/>
          <w:lang w:eastAsia="zh-CN"/>
        </w:rPr>
        <w:t>务</w:t>
      </w:r>
      <w:r>
        <w:rPr>
          <w:rFonts w:hint="default" w:ascii="Times New Roman" w:hAnsi="Times New Roman" w:eastAsia="仿宋_GB2312" w:cs="Times New Roman"/>
          <w:bCs/>
          <w:color w:val="auto"/>
          <w:sz w:val="32"/>
          <w:szCs w:val="32"/>
        </w:rPr>
        <w:t>发行费用支出</w:t>
      </w:r>
      <w:r>
        <w:rPr>
          <w:rFonts w:hint="default" w:ascii="Times New Roman" w:hAnsi="Times New Roman" w:eastAsia="仿宋_GB2312" w:cs="Times New Roman"/>
          <w:bCs/>
          <w:color w:val="auto"/>
          <w:sz w:val="32"/>
          <w:szCs w:val="32"/>
          <w:lang w:val="en-US" w:eastAsia="zh-CN"/>
        </w:rPr>
        <w:t>179</w:t>
      </w:r>
      <w:r>
        <w:rPr>
          <w:rFonts w:hint="default" w:ascii="Times New Roman" w:hAnsi="Times New Roman" w:eastAsia="仿宋_GB2312" w:cs="Times New Roman"/>
          <w:bCs/>
          <w:color w:val="auto"/>
          <w:sz w:val="32"/>
          <w:szCs w:val="32"/>
        </w:rPr>
        <w:t>万元；彩票公益金安排支出</w:t>
      </w:r>
      <w:r>
        <w:rPr>
          <w:rFonts w:hint="default" w:ascii="Times New Roman" w:hAnsi="Times New Roman" w:eastAsia="仿宋_GB2312" w:cs="Times New Roman"/>
          <w:bCs/>
          <w:color w:val="auto"/>
          <w:sz w:val="32"/>
          <w:szCs w:val="32"/>
          <w:lang w:val="en-US" w:eastAsia="zh-CN"/>
        </w:rPr>
        <w:t>480</w:t>
      </w:r>
      <w:r>
        <w:rPr>
          <w:rFonts w:hint="default" w:ascii="Times New Roman" w:hAnsi="Times New Roman" w:eastAsia="仿宋_GB2312" w:cs="Times New Roman"/>
          <w:bCs/>
          <w:color w:val="auto"/>
          <w:sz w:val="32"/>
          <w:szCs w:val="32"/>
        </w:rPr>
        <w:t>万元（其中：社会福利支出</w:t>
      </w:r>
      <w:r>
        <w:rPr>
          <w:rFonts w:hint="default" w:ascii="Times New Roman" w:hAnsi="Times New Roman" w:eastAsia="仿宋_GB2312" w:cs="Times New Roman"/>
          <w:bCs/>
          <w:color w:val="auto"/>
          <w:sz w:val="32"/>
          <w:szCs w:val="32"/>
          <w:lang w:val="en-US" w:eastAsia="zh-CN"/>
        </w:rPr>
        <w:t>395</w:t>
      </w:r>
      <w:r>
        <w:rPr>
          <w:rFonts w:hint="default" w:ascii="Times New Roman" w:hAnsi="Times New Roman" w:eastAsia="仿宋_GB2312" w:cs="Times New Roman"/>
          <w:bCs/>
          <w:color w:val="auto"/>
          <w:sz w:val="32"/>
          <w:szCs w:val="32"/>
        </w:rPr>
        <w:t>万元、体育事业支出</w:t>
      </w:r>
      <w:r>
        <w:rPr>
          <w:rFonts w:hint="default" w:ascii="Times New Roman" w:hAnsi="Times New Roman" w:eastAsia="仿宋_GB2312" w:cs="Times New Roman"/>
          <w:bCs/>
          <w:color w:val="auto"/>
          <w:sz w:val="32"/>
          <w:szCs w:val="32"/>
          <w:lang w:val="en-US" w:eastAsia="zh-CN"/>
        </w:rPr>
        <w:t>63</w:t>
      </w:r>
      <w:r>
        <w:rPr>
          <w:rFonts w:hint="default" w:ascii="Times New Roman" w:hAnsi="Times New Roman" w:eastAsia="仿宋_GB2312" w:cs="Times New Roman"/>
          <w:bCs/>
          <w:color w:val="auto"/>
          <w:sz w:val="32"/>
          <w:szCs w:val="32"/>
        </w:rPr>
        <w:t>万元、残疾人事业支出</w:t>
      </w:r>
      <w:r>
        <w:rPr>
          <w:rFonts w:hint="default" w:ascii="Times New Roman" w:hAnsi="Times New Roman" w:eastAsia="仿宋_GB2312" w:cs="Times New Roman"/>
          <w:bCs/>
          <w:color w:val="auto"/>
          <w:sz w:val="32"/>
          <w:szCs w:val="32"/>
          <w:lang w:val="en-US" w:eastAsia="zh-CN"/>
        </w:rPr>
        <w:t>22</w:t>
      </w:r>
      <w:r>
        <w:rPr>
          <w:rFonts w:hint="default" w:ascii="Times New Roman" w:hAnsi="Times New Roman" w:eastAsia="仿宋_GB2312" w:cs="Times New Roman"/>
          <w:bCs/>
          <w:color w:val="auto"/>
          <w:sz w:val="32"/>
          <w:szCs w:val="32"/>
        </w:rPr>
        <w:t>万元）。</w:t>
      </w:r>
      <w:r>
        <w:rPr>
          <w:rFonts w:hint="eastAsia" w:ascii="Times New Roman" w:hAnsi="Times New Roman" w:eastAsia="仿宋_GB2312" w:cs="Times New Roman"/>
          <w:bCs/>
          <w:color w:val="auto"/>
          <w:sz w:val="32"/>
          <w:szCs w:val="32"/>
          <w:lang w:eastAsia="zh-CN"/>
        </w:rPr>
        <w:t>同时</w:t>
      </w:r>
      <w:r>
        <w:rPr>
          <w:rFonts w:hint="default" w:ascii="Times New Roman" w:hAnsi="Times New Roman" w:eastAsia="仿宋_GB2312" w:cs="Times New Roman"/>
          <w:bCs/>
          <w:color w:val="auto"/>
          <w:sz w:val="32"/>
          <w:szCs w:val="32"/>
          <w:lang w:eastAsia="zh-CN"/>
        </w:rPr>
        <w:t>调出资金</w:t>
      </w:r>
      <w:r>
        <w:rPr>
          <w:rFonts w:hint="default" w:ascii="Times New Roman" w:hAnsi="Times New Roman" w:eastAsia="仿宋_GB2312" w:cs="Times New Roman"/>
          <w:bCs/>
          <w:color w:val="auto"/>
          <w:sz w:val="32"/>
          <w:szCs w:val="32"/>
          <w:lang w:val="en-US" w:eastAsia="zh-CN"/>
        </w:rPr>
        <w:t>48万元，债务还本支出54384万元，支出合计226250万元，</w:t>
      </w:r>
      <w:r>
        <w:rPr>
          <w:rFonts w:hint="default" w:ascii="Times New Roman" w:hAnsi="Times New Roman" w:eastAsia="仿宋_GB2312" w:cs="Times New Roman"/>
          <w:color w:val="auto"/>
          <w:sz w:val="32"/>
          <w:szCs w:val="32"/>
        </w:rPr>
        <w:t>收支相抵，结余</w:t>
      </w:r>
      <w:r>
        <w:rPr>
          <w:rFonts w:hint="default" w:ascii="Times New Roman" w:hAnsi="Times New Roman" w:eastAsia="仿宋_GB2312" w:cs="Times New Roman"/>
          <w:color w:val="auto"/>
          <w:sz w:val="32"/>
          <w:szCs w:val="32"/>
          <w:lang w:val="en-US" w:eastAsia="zh-CN"/>
        </w:rPr>
        <w:t>1302</w:t>
      </w:r>
      <w:r>
        <w:rPr>
          <w:rFonts w:hint="default" w:ascii="Times New Roman" w:hAnsi="Times New Roman" w:eastAsia="仿宋_GB2312" w:cs="Times New Roman"/>
          <w:color w:val="auto"/>
          <w:sz w:val="32"/>
          <w:szCs w:val="32"/>
        </w:rPr>
        <w:t>万元。（附表二）</w:t>
      </w:r>
    </w:p>
    <w:p w14:paraId="30C1C555">
      <w:pPr>
        <w:keepNext w:val="0"/>
        <w:keepLines w:val="0"/>
        <w:pageBreakBefore w:val="0"/>
        <w:kinsoku/>
        <w:wordWrap/>
        <w:overflowPunct/>
        <w:topLinePunct w:val="0"/>
        <w:autoSpaceDE/>
        <w:autoSpaceDN/>
        <w:bidi w:val="0"/>
        <w:adjustRightInd/>
        <w:spacing w:line="576" w:lineRule="exact"/>
        <w:ind w:left="0" w:firstLine="630" w:firstLineChars="196"/>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国有资本经营预算收支决算情况：</w:t>
      </w:r>
      <w:r>
        <w:rPr>
          <w:rFonts w:hint="default" w:ascii="Times New Roman" w:hAnsi="Times New Roman" w:eastAsia="仿宋_GB2312" w:cs="Times New Roman"/>
          <w:color w:val="auto"/>
          <w:sz w:val="32"/>
          <w:szCs w:val="32"/>
        </w:rPr>
        <w:t>国有资本经营预算收入2000万元，主要是国有资本经营预算企业利润收入。上级补助收入</w:t>
      </w:r>
      <w:r>
        <w:rPr>
          <w:rFonts w:hint="default" w:ascii="Times New Roman" w:hAnsi="Times New Roman" w:eastAsia="仿宋_GB2312" w:cs="Times New Roman"/>
          <w:color w:val="auto"/>
          <w:sz w:val="32"/>
          <w:szCs w:val="32"/>
          <w:lang w:val="en-US" w:eastAsia="zh-CN"/>
        </w:rPr>
        <w:t>218</w:t>
      </w:r>
      <w:r>
        <w:rPr>
          <w:rFonts w:hint="default" w:ascii="Times New Roman" w:hAnsi="Times New Roman" w:eastAsia="仿宋_GB2312" w:cs="Times New Roman"/>
          <w:color w:val="auto"/>
          <w:sz w:val="32"/>
          <w:szCs w:val="32"/>
        </w:rPr>
        <w:t>万元，当年可用财力2</w:t>
      </w:r>
      <w:r>
        <w:rPr>
          <w:rFonts w:hint="default" w:ascii="Times New Roman" w:hAnsi="Times New Roman" w:eastAsia="仿宋_GB2312" w:cs="Times New Roman"/>
          <w:color w:val="auto"/>
          <w:sz w:val="32"/>
          <w:szCs w:val="32"/>
          <w:lang w:val="en-US" w:eastAsia="zh-CN"/>
        </w:rPr>
        <w:t>218</w:t>
      </w:r>
      <w:r>
        <w:rPr>
          <w:rFonts w:hint="default" w:ascii="Times New Roman" w:hAnsi="Times New Roman" w:eastAsia="仿宋_GB2312" w:cs="Times New Roman"/>
          <w:color w:val="auto"/>
          <w:sz w:val="32"/>
          <w:szCs w:val="32"/>
        </w:rPr>
        <w:t>万元。当年支出18</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万元，调出资金2</w:t>
      </w:r>
      <w:r>
        <w:rPr>
          <w:rFonts w:hint="default" w:ascii="Times New Roman" w:hAnsi="Times New Roman" w:eastAsia="仿宋_GB2312" w:cs="Times New Roman"/>
          <w:color w:val="auto"/>
          <w:sz w:val="32"/>
          <w:szCs w:val="32"/>
          <w:lang w:val="en-US" w:eastAsia="zh-CN"/>
        </w:rPr>
        <w:t>036</w:t>
      </w:r>
      <w:r>
        <w:rPr>
          <w:rFonts w:hint="default" w:ascii="Times New Roman" w:hAnsi="Times New Roman" w:eastAsia="仿宋_GB2312" w:cs="Times New Roman"/>
          <w:color w:val="auto"/>
          <w:sz w:val="32"/>
          <w:szCs w:val="32"/>
        </w:rPr>
        <w:t>万元，收支相抵，无结余。（附表三）</w:t>
      </w:r>
    </w:p>
    <w:p w14:paraId="0ECA2406">
      <w:pPr>
        <w:keepNext w:val="0"/>
        <w:keepLines w:val="0"/>
        <w:pageBreakBefore w:val="0"/>
        <w:kinsoku/>
        <w:wordWrap/>
        <w:overflowPunct/>
        <w:topLinePunct w:val="0"/>
        <w:autoSpaceDE/>
        <w:autoSpaceDN/>
        <w:bidi w:val="0"/>
        <w:adjustRightInd/>
        <w:spacing w:line="576" w:lineRule="exact"/>
        <w:ind w:left="0"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color w:val="auto"/>
          <w:kern w:val="0"/>
          <w:sz w:val="32"/>
          <w:szCs w:val="32"/>
        </w:rPr>
        <w:t>政府性债务情况：</w:t>
      </w:r>
      <w:r>
        <w:rPr>
          <w:rFonts w:hint="default" w:ascii="Times New Roman" w:hAnsi="Times New Roman" w:eastAsia="仿宋_GB2312" w:cs="Times New Roman"/>
          <w:color w:val="auto"/>
          <w:sz w:val="32"/>
          <w:szCs w:val="32"/>
        </w:rPr>
        <w:t>2023年新增专项债16.19亿元，通过再融资债券置换偿还7</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25亿元，通过财政资金偿还283.59万元；利用预算资金偿还到期利息1</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04亿元。截至2023年底，我区债务系统内政府债务余额41.37亿元，全部为政府债券，在省定限额41.48亿元以内。</w:t>
      </w:r>
    </w:p>
    <w:p w14:paraId="6519780B">
      <w:pPr>
        <w:keepNext w:val="0"/>
        <w:keepLines w:val="0"/>
        <w:pageBreakBefore w:val="0"/>
        <w:kinsoku/>
        <w:wordWrap/>
        <w:overflowPunct/>
        <w:topLinePunct w:val="0"/>
        <w:autoSpaceDE/>
        <w:autoSpaceDN/>
        <w:bidi w:val="0"/>
        <w:adjustRightInd/>
        <w:spacing w:line="576" w:lineRule="exact"/>
        <w:ind w:left="0" w:firstLine="630" w:firstLineChars="196"/>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color w:val="auto"/>
          <w:sz w:val="32"/>
          <w:szCs w:val="32"/>
        </w:rPr>
        <w:t>区本级财政支出决算情况 ：</w:t>
      </w:r>
      <w:r>
        <w:rPr>
          <w:rFonts w:hint="default" w:ascii="Times New Roman" w:hAnsi="Times New Roman" w:eastAsia="仿宋_GB2312" w:cs="Times New Roman"/>
          <w:color w:val="auto"/>
          <w:sz w:val="32"/>
          <w:szCs w:val="32"/>
        </w:rPr>
        <w:t>经区十一届人大</w:t>
      </w:r>
      <w:r>
        <w:rPr>
          <w:rFonts w:hint="default" w:ascii="Times New Roman" w:hAnsi="Times New Roman" w:eastAsia="仿宋_GB2312" w:cs="Times New Roman"/>
          <w:color w:val="auto"/>
          <w:sz w:val="32"/>
          <w:szCs w:val="32"/>
          <w:lang w:eastAsia="zh-CN"/>
        </w:rPr>
        <w:t>三</w:t>
      </w:r>
      <w:r>
        <w:rPr>
          <w:rFonts w:hint="default" w:ascii="Times New Roman" w:hAnsi="Times New Roman" w:eastAsia="仿宋_GB2312" w:cs="Times New Roman"/>
          <w:color w:val="auto"/>
          <w:sz w:val="32"/>
          <w:szCs w:val="32"/>
        </w:rPr>
        <w:t>次会议批准，202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年区本级财政支出预算1</w:t>
      </w:r>
      <w:r>
        <w:rPr>
          <w:rFonts w:hint="default" w:ascii="Times New Roman" w:hAnsi="Times New Roman" w:eastAsia="仿宋_GB2312" w:cs="Times New Roman"/>
          <w:color w:val="auto"/>
          <w:sz w:val="32"/>
          <w:szCs w:val="32"/>
          <w:lang w:val="en-US" w:eastAsia="zh-CN"/>
        </w:rPr>
        <w:t>20750</w:t>
      </w:r>
      <w:r>
        <w:rPr>
          <w:rFonts w:hint="default" w:ascii="Times New Roman" w:hAnsi="Times New Roman" w:eastAsia="仿宋_GB2312" w:cs="Times New Roman"/>
          <w:color w:val="auto"/>
          <w:sz w:val="32"/>
          <w:szCs w:val="32"/>
        </w:rPr>
        <w:t>万元。加上在预算执行中市追加、上年结转及调入资金，最后支出预算为1</w:t>
      </w:r>
      <w:r>
        <w:rPr>
          <w:rFonts w:hint="default" w:ascii="Times New Roman" w:hAnsi="Times New Roman" w:eastAsia="仿宋_GB2312" w:cs="Times New Roman"/>
          <w:color w:val="auto"/>
          <w:sz w:val="32"/>
          <w:szCs w:val="32"/>
          <w:lang w:val="en-US" w:eastAsia="zh-CN"/>
        </w:rPr>
        <w:t>69392</w:t>
      </w:r>
      <w:r>
        <w:rPr>
          <w:rFonts w:hint="default" w:ascii="Times New Roman" w:hAnsi="Times New Roman" w:eastAsia="仿宋_GB2312" w:cs="Times New Roman"/>
          <w:color w:val="auto"/>
          <w:sz w:val="32"/>
          <w:szCs w:val="32"/>
        </w:rPr>
        <w:t>万元。202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年区本级财政累计支出</w:t>
      </w:r>
      <w:r>
        <w:rPr>
          <w:rFonts w:hint="default" w:ascii="Times New Roman" w:hAnsi="Times New Roman" w:eastAsia="仿宋_GB2312" w:cs="Times New Roman"/>
          <w:color w:val="auto"/>
          <w:sz w:val="32"/>
          <w:szCs w:val="32"/>
          <w:lang w:val="en-US" w:eastAsia="zh-CN"/>
        </w:rPr>
        <w:t>166331</w:t>
      </w:r>
      <w:r>
        <w:rPr>
          <w:rFonts w:hint="default" w:ascii="Times New Roman" w:hAnsi="Times New Roman" w:eastAsia="仿宋_GB2312" w:cs="Times New Roman"/>
          <w:color w:val="auto"/>
          <w:sz w:val="32"/>
          <w:szCs w:val="32"/>
        </w:rPr>
        <w:t>万元，同比</w:t>
      </w:r>
      <w:r>
        <w:rPr>
          <w:rFonts w:hint="default" w:ascii="Times New Roman" w:hAnsi="Times New Roman" w:eastAsia="仿宋_GB2312" w:cs="Times New Roman"/>
          <w:color w:val="auto"/>
          <w:sz w:val="32"/>
          <w:szCs w:val="32"/>
          <w:lang w:eastAsia="zh-CN"/>
        </w:rPr>
        <w:t>减</w:t>
      </w:r>
      <w:r>
        <w:rPr>
          <w:rFonts w:hint="default" w:ascii="Times New Roman" w:hAnsi="Times New Roman" w:eastAsia="仿宋_GB2312" w:cs="Times New Roman"/>
          <w:color w:val="auto"/>
          <w:sz w:val="32"/>
          <w:szCs w:val="32"/>
        </w:rPr>
        <w:t>支</w:t>
      </w:r>
      <w:r>
        <w:rPr>
          <w:rFonts w:hint="default" w:ascii="Times New Roman" w:hAnsi="Times New Roman" w:eastAsia="仿宋_GB2312" w:cs="Times New Roman"/>
          <w:color w:val="auto"/>
          <w:sz w:val="32"/>
          <w:szCs w:val="32"/>
          <w:lang w:val="en-US" w:eastAsia="zh-CN"/>
        </w:rPr>
        <w:t>1322</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eastAsia="zh-CN"/>
        </w:rPr>
        <w:t>下降</w:t>
      </w:r>
      <w:r>
        <w:rPr>
          <w:rFonts w:hint="default" w:ascii="Times New Roman" w:hAnsi="Times New Roman" w:eastAsia="仿宋_GB2312" w:cs="Times New Roman"/>
          <w:color w:val="auto"/>
          <w:sz w:val="32"/>
          <w:szCs w:val="32"/>
          <w:lang w:val="en-US" w:eastAsia="zh-CN"/>
        </w:rPr>
        <w:t>0.8</w:t>
      </w:r>
      <w:r>
        <w:rPr>
          <w:rFonts w:hint="default" w:ascii="Times New Roman" w:hAnsi="Times New Roman" w:eastAsia="仿宋_GB2312" w:cs="Times New Roman"/>
          <w:color w:val="auto"/>
          <w:sz w:val="32"/>
          <w:szCs w:val="32"/>
        </w:rPr>
        <w:t>%，收支相抵，年末结余30</w:t>
      </w:r>
      <w:r>
        <w:rPr>
          <w:rFonts w:hint="default" w:ascii="Times New Roman" w:hAnsi="Times New Roman" w:eastAsia="仿宋_GB2312" w:cs="Times New Roman"/>
          <w:color w:val="auto"/>
          <w:sz w:val="32"/>
          <w:szCs w:val="32"/>
          <w:lang w:val="en-US" w:eastAsia="zh-CN"/>
        </w:rPr>
        <w:t>61</w:t>
      </w:r>
      <w:r>
        <w:rPr>
          <w:rFonts w:hint="default" w:ascii="Times New Roman" w:hAnsi="Times New Roman" w:eastAsia="仿宋_GB2312" w:cs="Times New Roman"/>
          <w:color w:val="auto"/>
          <w:sz w:val="32"/>
          <w:szCs w:val="32"/>
        </w:rPr>
        <w:t>万元。（具体分类支出情况见附表四）</w:t>
      </w:r>
    </w:p>
    <w:p w14:paraId="016C7110">
      <w:pPr>
        <w:pStyle w:val="15"/>
        <w:keepNext w:val="0"/>
        <w:keepLines w:val="0"/>
        <w:pageBreakBefore w:val="0"/>
        <w:kinsoku/>
        <w:wordWrap/>
        <w:overflowPunct/>
        <w:topLinePunct w:val="0"/>
        <w:autoSpaceDE/>
        <w:autoSpaceDN/>
        <w:bidi w:val="0"/>
        <w:adjustRightInd/>
        <w:spacing w:before="0" w:beforeAutospacing="0" w:after="0" w:afterAutospacing="0" w:line="576" w:lineRule="exact"/>
        <w:ind w:left="0" w:firstLine="643" w:firstLineChars="200"/>
        <w:jc w:val="both"/>
        <w:textAlignment w:val="auto"/>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（二）</w:t>
      </w:r>
      <w:r>
        <w:rPr>
          <w:rFonts w:hint="default" w:ascii="Times New Roman" w:hAnsi="Times New Roman" w:eastAsia="楷体_GB2312" w:cs="Times New Roman"/>
          <w:bCs/>
          <w:color w:val="auto"/>
          <w:sz w:val="32"/>
          <w:szCs w:val="32"/>
        </w:rPr>
        <w:t>202</w:t>
      </w:r>
      <w:r>
        <w:rPr>
          <w:rFonts w:hint="default" w:ascii="Times New Roman" w:hAnsi="Times New Roman" w:eastAsia="楷体_GB2312" w:cs="Times New Roman"/>
          <w:bCs/>
          <w:color w:val="auto"/>
          <w:sz w:val="32"/>
          <w:szCs w:val="32"/>
          <w:lang w:val="en-US" w:eastAsia="zh-CN"/>
        </w:rPr>
        <w:t>4</w:t>
      </w:r>
      <w:r>
        <w:rPr>
          <w:rFonts w:hint="default" w:ascii="Times New Roman" w:hAnsi="Times New Roman" w:eastAsia="楷体_GB2312" w:cs="Times New Roman"/>
          <w:b/>
          <w:color w:val="auto"/>
          <w:sz w:val="32"/>
          <w:szCs w:val="32"/>
        </w:rPr>
        <w:t>年上半年财政预算执行情况</w:t>
      </w:r>
    </w:p>
    <w:p w14:paraId="46616B3B">
      <w:pPr>
        <w:keepNext w:val="0"/>
        <w:keepLines w:val="0"/>
        <w:pageBreakBefore w:val="0"/>
        <w:kinsoku/>
        <w:wordWrap/>
        <w:overflowPunct/>
        <w:topLinePunct w:val="0"/>
        <w:autoSpaceDE/>
        <w:autoSpaceDN/>
        <w:bidi w:val="0"/>
        <w:adjustRightInd/>
        <w:spacing w:line="576" w:lineRule="exact"/>
        <w:ind w:left="0"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经区十一届人大</w:t>
      </w:r>
      <w:r>
        <w:rPr>
          <w:rFonts w:hint="default" w:ascii="Times New Roman" w:hAnsi="Times New Roman" w:eastAsia="仿宋_GB2312" w:cs="Times New Roman"/>
          <w:color w:val="auto"/>
          <w:sz w:val="32"/>
          <w:szCs w:val="32"/>
          <w:lang w:eastAsia="zh-CN"/>
        </w:rPr>
        <w:t>四</w:t>
      </w:r>
      <w:r>
        <w:rPr>
          <w:rFonts w:hint="default" w:ascii="Times New Roman" w:hAnsi="Times New Roman" w:eastAsia="仿宋_GB2312" w:cs="Times New Roman"/>
          <w:color w:val="auto"/>
          <w:sz w:val="32"/>
          <w:szCs w:val="32"/>
        </w:rPr>
        <w:t>次会议批准，202</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年一般公共预算收入预期</w:t>
      </w:r>
      <w:r>
        <w:rPr>
          <w:rFonts w:hint="default" w:ascii="Times New Roman" w:hAnsi="Times New Roman" w:eastAsia="仿宋_GB2312" w:cs="Times New Roman"/>
          <w:color w:val="auto"/>
          <w:sz w:val="32"/>
          <w:szCs w:val="32"/>
          <w:lang w:val="en-US" w:eastAsia="zh-CN"/>
        </w:rPr>
        <w:t>7.16</w:t>
      </w:r>
      <w:r>
        <w:rPr>
          <w:rFonts w:hint="default" w:ascii="Times New Roman" w:hAnsi="Times New Roman" w:eastAsia="仿宋_GB2312" w:cs="Times New Roman"/>
          <w:color w:val="auto"/>
          <w:sz w:val="32"/>
          <w:szCs w:val="32"/>
        </w:rPr>
        <w:t>亿元，增长</w:t>
      </w:r>
      <w:r>
        <w:rPr>
          <w:rFonts w:hint="default"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rPr>
        <w:t>%；全区财政支出预算13.</w:t>
      </w:r>
      <w:r>
        <w:rPr>
          <w:rFonts w:hint="default" w:ascii="Times New Roman" w:hAnsi="Times New Roman" w:eastAsia="仿宋_GB2312" w:cs="Times New Roman"/>
          <w:color w:val="auto"/>
          <w:sz w:val="32"/>
          <w:szCs w:val="32"/>
          <w:lang w:val="en-US" w:eastAsia="zh-CN"/>
        </w:rPr>
        <w:t>52</w:t>
      </w:r>
      <w:r>
        <w:rPr>
          <w:rFonts w:hint="default" w:ascii="Times New Roman" w:hAnsi="Times New Roman" w:eastAsia="仿宋_GB2312" w:cs="Times New Roman"/>
          <w:color w:val="auto"/>
          <w:sz w:val="32"/>
          <w:szCs w:val="32"/>
        </w:rPr>
        <w:t>亿元，增长</w:t>
      </w:r>
      <w:r>
        <w:rPr>
          <w:rFonts w:hint="default" w:ascii="Times New Roman" w:hAnsi="Times New Roman" w:eastAsia="仿宋_GB2312" w:cs="Times New Roman"/>
          <w:color w:val="auto"/>
          <w:sz w:val="32"/>
          <w:szCs w:val="32"/>
          <w:lang w:val="en-US" w:eastAsia="zh-CN"/>
        </w:rPr>
        <w:t>1.8</w:t>
      </w:r>
      <w:r>
        <w:rPr>
          <w:rFonts w:hint="default" w:ascii="Times New Roman" w:hAnsi="Times New Roman" w:eastAsia="仿宋_GB2312" w:cs="Times New Roman"/>
          <w:color w:val="auto"/>
          <w:sz w:val="32"/>
          <w:szCs w:val="32"/>
        </w:rPr>
        <w:t>%，其中：区本级财政支出预算12.0</w:t>
      </w:r>
      <w:r>
        <w:rPr>
          <w:rFonts w:hint="default" w:ascii="Times New Roman" w:hAnsi="Times New Roman" w:eastAsia="仿宋_GB2312" w:cs="Times New Roman"/>
          <w:color w:val="auto"/>
          <w:sz w:val="32"/>
          <w:szCs w:val="32"/>
          <w:lang w:val="en-US" w:eastAsia="zh-CN"/>
        </w:rPr>
        <w:t>01</w:t>
      </w:r>
      <w:r>
        <w:rPr>
          <w:rFonts w:hint="default" w:ascii="Times New Roman" w:hAnsi="Times New Roman" w:eastAsia="仿宋_GB2312" w:cs="Times New Roman"/>
          <w:color w:val="auto"/>
          <w:sz w:val="32"/>
          <w:szCs w:val="32"/>
        </w:rPr>
        <w:t>亿元；区本级国有资本经营预算收入预期</w:t>
      </w:r>
      <w:r>
        <w:rPr>
          <w:rFonts w:hint="default" w:ascii="Times New Roman" w:hAnsi="Times New Roman" w:eastAsia="仿宋_GB2312" w:cs="Times New Roman"/>
          <w:color w:val="auto"/>
          <w:sz w:val="32"/>
          <w:szCs w:val="32"/>
          <w:lang w:val="en-US" w:eastAsia="zh-CN"/>
        </w:rPr>
        <w:t>3960</w:t>
      </w:r>
      <w:r>
        <w:rPr>
          <w:rFonts w:hint="default" w:ascii="Times New Roman" w:hAnsi="Times New Roman" w:eastAsia="仿宋_GB2312" w:cs="Times New Roman"/>
          <w:color w:val="auto"/>
          <w:sz w:val="32"/>
          <w:szCs w:val="32"/>
        </w:rPr>
        <w:t>万元，支出</w:t>
      </w:r>
      <w:r>
        <w:rPr>
          <w:rFonts w:hint="default" w:ascii="Times New Roman" w:hAnsi="Times New Roman" w:eastAsia="仿宋_GB2312" w:cs="Times New Roman"/>
          <w:color w:val="auto"/>
          <w:sz w:val="32"/>
          <w:szCs w:val="32"/>
          <w:lang w:val="en-US" w:eastAsia="zh-CN"/>
        </w:rPr>
        <w:t>3960</w:t>
      </w:r>
      <w:r>
        <w:rPr>
          <w:rFonts w:hint="default" w:ascii="Times New Roman" w:hAnsi="Times New Roman" w:eastAsia="仿宋_GB2312" w:cs="Times New Roman"/>
          <w:color w:val="auto"/>
          <w:sz w:val="32"/>
          <w:szCs w:val="32"/>
        </w:rPr>
        <w:t>万元。</w:t>
      </w:r>
    </w:p>
    <w:p w14:paraId="716F153D">
      <w:pPr>
        <w:keepNext w:val="0"/>
        <w:keepLines w:val="0"/>
        <w:pageBreakBefore w:val="0"/>
        <w:kinsoku/>
        <w:wordWrap/>
        <w:overflowPunct/>
        <w:topLinePunct w:val="0"/>
        <w:autoSpaceDE/>
        <w:autoSpaceDN/>
        <w:bidi w:val="0"/>
        <w:adjustRightInd/>
        <w:spacing w:line="576" w:lineRule="exact"/>
        <w:ind w:left="0"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rPr>
        <w:t>一般公共预算执行情况：</w:t>
      </w:r>
      <w:r>
        <w:rPr>
          <w:rFonts w:hint="default" w:ascii="Times New Roman" w:hAnsi="Times New Roman" w:eastAsia="仿宋_GB2312" w:cs="Times New Roman"/>
          <w:color w:val="auto"/>
          <w:sz w:val="32"/>
          <w:szCs w:val="32"/>
        </w:rPr>
        <w:t>上半年一般公共预算收入完成</w:t>
      </w:r>
      <w:r>
        <w:rPr>
          <w:rFonts w:hint="default" w:ascii="Times New Roman" w:hAnsi="Times New Roman" w:eastAsia="仿宋_GB2312" w:cs="Times New Roman"/>
          <w:color w:val="auto"/>
          <w:sz w:val="32"/>
          <w:szCs w:val="32"/>
          <w:lang w:val="en-US" w:eastAsia="zh-CN"/>
        </w:rPr>
        <w:t>40547</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eastAsia="zh-CN"/>
        </w:rPr>
        <w:t>同比增长</w:t>
      </w:r>
      <w:r>
        <w:rPr>
          <w:rFonts w:hint="default"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rPr>
        <w:t>完成年预算的56.</w:t>
      </w:r>
      <w:r>
        <w:rPr>
          <w:rFonts w:hint="default"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rPr>
        <w:t>%，实现时间过半、任务完成过半。全区财政支出累计95</w:t>
      </w:r>
      <w:r>
        <w:rPr>
          <w:rFonts w:hint="default" w:ascii="Times New Roman" w:hAnsi="Times New Roman" w:eastAsia="仿宋_GB2312" w:cs="Times New Roman"/>
          <w:color w:val="auto"/>
          <w:sz w:val="32"/>
          <w:szCs w:val="32"/>
          <w:lang w:val="en-US" w:eastAsia="zh-CN"/>
        </w:rPr>
        <w:t>785</w:t>
      </w:r>
      <w:r>
        <w:rPr>
          <w:rFonts w:hint="default" w:ascii="Times New Roman" w:hAnsi="Times New Roman" w:eastAsia="仿宋_GB2312" w:cs="Times New Roman"/>
          <w:color w:val="auto"/>
          <w:sz w:val="32"/>
          <w:szCs w:val="32"/>
        </w:rPr>
        <w:t>万元，完成年预算的</w:t>
      </w:r>
      <w:r>
        <w:rPr>
          <w:rFonts w:hint="default" w:ascii="Times New Roman" w:hAnsi="Times New Roman" w:eastAsia="仿宋_GB2312" w:cs="Times New Roman"/>
          <w:color w:val="auto"/>
          <w:sz w:val="32"/>
          <w:szCs w:val="32"/>
          <w:lang w:val="en-US" w:eastAsia="zh-CN"/>
        </w:rPr>
        <w:t>70.8</w:t>
      </w:r>
      <w:r>
        <w:rPr>
          <w:rFonts w:hint="default" w:ascii="Times New Roman" w:hAnsi="Times New Roman" w:eastAsia="仿宋_GB2312" w:cs="Times New Roman"/>
          <w:color w:val="auto"/>
          <w:sz w:val="32"/>
          <w:szCs w:val="32"/>
        </w:rPr>
        <w:t>%，同比增支</w:t>
      </w:r>
      <w:r>
        <w:rPr>
          <w:rFonts w:hint="default" w:ascii="Times New Roman" w:hAnsi="Times New Roman" w:eastAsia="仿宋_GB2312" w:cs="Times New Roman"/>
          <w:color w:val="auto"/>
          <w:sz w:val="32"/>
          <w:szCs w:val="32"/>
          <w:lang w:val="en-US" w:eastAsia="zh-CN"/>
        </w:rPr>
        <w:t>674</w:t>
      </w:r>
      <w:r>
        <w:rPr>
          <w:rFonts w:hint="default" w:ascii="Times New Roman" w:hAnsi="Times New Roman" w:eastAsia="仿宋_GB2312" w:cs="Times New Roman"/>
          <w:color w:val="auto"/>
          <w:sz w:val="32"/>
          <w:szCs w:val="32"/>
        </w:rPr>
        <w:t>万元，增幅</w:t>
      </w:r>
      <w:r>
        <w:rPr>
          <w:rFonts w:hint="default" w:ascii="Times New Roman" w:hAnsi="Times New Roman" w:eastAsia="仿宋_GB2312" w:cs="Times New Roman"/>
          <w:color w:val="auto"/>
          <w:sz w:val="32"/>
          <w:szCs w:val="32"/>
          <w:lang w:val="en-US" w:eastAsia="zh-CN"/>
        </w:rPr>
        <w:t>0.7</w:t>
      </w:r>
      <w:r>
        <w:rPr>
          <w:rFonts w:hint="default" w:ascii="Times New Roman" w:hAnsi="Times New Roman" w:eastAsia="仿宋_GB2312" w:cs="Times New Roman"/>
          <w:color w:val="auto"/>
          <w:sz w:val="32"/>
          <w:szCs w:val="32"/>
        </w:rPr>
        <w:t>%。其中：民生领域支出8</w:t>
      </w:r>
      <w:r>
        <w:rPr>
          <w:rFonts w:hint="default" w:ascii="Times New Roman" w:hAnsi="Times New Roman" w:eastAsia="仿宋_GB2312" w:cs="Times New Roman"/>
          <w:color w:val="auto"/>
          <w:sz w:val="32"/>
          <w:szCs w:val="32"/>
          <w:lang w:val="en-US" w:eastAsia="zh-CN"/>
        </w:rPr>
        <w:t>9514</w:t>
      </w:r>
      <w:r>
        <w:rPr>
          <w:rFonts w:hint="default" w:ascii="Times New Roman" w:hAnsi="Times New Roman" w:eastAsia="仿宋_GB2312" w:cs="Times New Roman"/>
          <w:color w:val="auto"/>
          <w:sz w:val="32"/>
          <w:szCs w:val="32"/>
        </w:rPr>
        <w:t>万元，同比增长</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.7%，占全区公共财政预算支出的9</w:t>
      </w:r>
      <w:r>
        <w:rPr>
          <w:rFonts w:hint="default" w:ascii="Times New Roman" w:hAnsi="Times New Roman" w:eastAsia="仿宋_GB2312" w:cs="Times New Roman"/>
          <w:color w:val="auto"/>
          <w:sz w:val="32"/>
          <w:szCs w:val="32"/>
          <w:lang w:val="en-US" w:eastAsia="zh-CN"/>
        </w:rPr>
        <w:t>3.5</w:t>
      </w:r>
      <w:r>
        <w:rPr>
          <w:rFonts w:hint="default" w:ascii="Times New Roman" w:hAnsi="Times New Roman" w:eastAsia="仿宋_GB2312" w:cs="Times New Roman"/>
          <w:color w:val="auto"/>
          <w:sz w:val="32"/>
          <w:szCs w:val="32"/>
        </w:rPr>
        <w:t>%。区本级财政支出</w:t>
      </w:r>
      <w:r>
        <w:rPr>
          <w:rFonts w:hint="default" w:ascii="Times New Roman" w:hAnsi="Times New Roman" w:eastAsia="仿宋_GB2312" w:cs="Times New Roman"/>
          <w:color w:val="auto"/>
          <w:sz w:val="32"/>
          <w:szCs w:val="32"/>
          <w:lang w:val="en-US" w:eastAsia="zh-CN"/>
        </w:rPr>
        <w:t>86970</w:t>
      </w:r>
      <w:r>
        <w:rPr>
          <w:rFonts w:hint="default" w:ascii="Times New Roman" w:hAnsi="Times New Roman" w:eastAsia="仿宋_GB2312" w:cs="Times New Roman"/>
          <w:color w:val="auto"/>
          <w:sz w:val="32"/>
          <w:szCs w:val="32"/>
        </w:rPr>
        <w:t>万元，完成年预算的72.</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%，同比</w:t>
      </w:r>
      <w:r>
        <w:rPr>
          <w:rFonts w:hint="default" w:ascii="Times New Roman" w:hAnsi="Times New Roman" w:eastAsia="仿宋_GB2312" w:cs="Times New Roman"/>
          <w:color w:val="auto"/>
          <w:sz w:val="32"/>
          <w:szCs w:val="32"/>
          <w:lang w:eastAsia="zh-CN"/>
        </w:rPr>
        <w:t>减</w:t>
      </w:r>
      <w:r>
        <w:rPr>
          <w:rFonts w:hint="default" w:ascii="Times New Roman" w:hAnsi="Times New Roman" w:eastAsia="仿宋_GB2312" w:cs="Times New Roman"/>
          <w:color w:val="auto"/>
          <w:sz w:val="32"/>
          <w:szCs w:val="32"/>
        </w:rPr>
        <w:t>支</w:t>
      </w:r>
      <w:r>
        <w:rPr>
          <w:rFonts w:hint="default" w:ascii="Times New Roman" w:hAnsi="Times New Roman" w:eastAsia="仿宋_GB2312" w:cs="Times New Roman"/>
          <w:color w:val="auto"/>
          <w:sz w:val="32"/>
          <w:szCs w:val="32"/>
          <w:lang w:val="en-US" w:eastAsia="zh-CN"/>
        </w:rPr>
        <w:t>719</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eastAsia="zh-CN"/>
        </w:rPr>
        <w:t>下降</w:t>
      </w:r>
      <w:r>
        <w:rPr>
          <w:rFonts w:hint="default" w:ascii="Times New Roman" w:hAnsi="Times New Roman" w:eastAsia="仿宋_GB2312" w:cs="Times New Roman"/>
          <w:color w:val="auto"/>
          <w:sz w:val="32"/>
          <w:szCs w:val="32"/>
          <w:lang w:val="en-US" w:eastAsia="zh-CN"/>
        </w:rPr>
        <w:t>0.8</w:t>
      </w:r>
      <w:r>
        <w:rPr>
          <w:rFonts w:hint="default" w:ascii="Times New Roman" w:hAnsi="Times New Roman" w:eastAsia="仿宋_GB2312" w:cs="Times New Roman"/>
          <w:color w:val="auto"/>
          <w:sz w:val="32"/>
          <w:szCs w:val="32"/>
        </w:rPr>
        <w:t>%。补助镇办支出</w:t>
      </w:r>
      <w:r>
        <w:rPr>
          <w:rFonts w:hint="default" w:ascii="Times New Roman" w:hAnsi="Times New Roman" w:eastAsia="仿宋_GB2312" w:cs="Times New Roman"/>
          <w:color w:val="auto"/>
          <w:sz w:val="32"/>
          <w:szCs w:val="32"/>
          <w:lang w:val="en-US" w:eastAsia="zh-CN"/>
        </w:rPr>
        <w:t>8815</w:t>
      </w:r>
      <w:r>
        <w:rPr>
          <w:rFonts w:hint="default" w:ascii="Times New Roman" w:hAnsi="Times New Roman" w:eastAsia="仿宋_GB2312" w:cs="Times New Roman"/>
          <w:color w:val="auto"/>
          <w:sz w:val="32"/>
          <w:szCs w:val="32"/>
        </w:rPr>
        <w:t>万元。</w:t>
      </w:r>
    </w:p>
    <w:p w14:paraId="4E36AD65">
      <w:pPr>
        <w:keepNext w:val="0"/>
        <w:keepLines w:val="0"/>
        <w:pageBreakBefore w:val="0"/>
        <w:kinsoku/>
        <w:wordWrap/>
        <w:overflowPunct/>
        <w:topLinePunct w:val="0"/>
        <w:autoSpaceDE/>
        <w:autoSpaceDN/>
        <w:bidi w:val="0"/>
        <w:adjustRightInd/>
        <w:spacing w:line="576" w:lineRule="exact"/>
        <w:ind w:left="0"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color w:val="auto"/>
          <w:kern w:val="0"/>
          <w:sz w:val="32"/>
          <w:szCs w:val="32"/>
        </w:rPr>
        <w:t>政府性基金预算执行情况：</w:t>
      </w:r>
      <w:r>
        <w:rPr>
          <w:rFonts w:hint="default" w:ascii="Times New Roman" w:hAnsi="Times New Roman" w:eastAsia="仿宋_GB2312" w:cs="Times New Roman"/>
          <w:color w:val="auto"/>
          <w:sz w:val="32"/>
          <w:szCs w:val="32"/>
        </w:rPr>
        <w:t>上半年新增专项债务（转贷）收入</w:t>
      </w:r>
      <w:r>
        <w:rPr>
          <w:rFonts w:hint="default" w:ascii="Times New Roman" w:hAnsi="Times New Roman" w:eastAsia="仿宋_GB2312" w:cs="Times New Roman"/>
          <w:color w:val="auto"/>
          <w:sz w:val="32"/>
          <w:szCs w:val="32"/>
          <w:lang w:val="en-US" w:eastAsia="zh-CN"/>
        </w:rPr>
        <w:t>25900</w:t>
      </w:r>
      <w:r>
        <w:rPr>
          <w:rFonts w:hint="default" w:ascii="Times New Roman" w:hAnsi="Times New Roman" w:eastAsia="仿宋_GB2312" w:cs="Times New Roman"/>
          <w:color w:val="auto"/>
          <w:sz w:val="32"/>
          <w:szCs w:val="32"/>
        </w:rPr>
        <w:t>万元，上级补助收入</w:t>
      </w:r>
      <w:r>
        <w:rPr>
          <w:rFonts w:hint="default" w:ascii="Times New Roman" w:hAnsi="Times New Roman" w:eastAsia="仿宋_GB2312" w:cs="Times New Roman"/>
          <w:color w:val="auto"/>
          <w:sz w:val="32"/>
          <w:szCs w:val="32"/>
          <w:lang w:val="en-US" w:eastAsia="zh-CN"/>
        </w:rPr>
        <w:t>628</w:t>
      </w:r>
      <w:r>
        <w:rPr>
          <w:rFonts w:hint="default" w:ascii="Times New Roman" w:hAnsi="Times New Roman" w:eastAsia="仿宋_GB2312" w:cs="Times New Roman"/>
          <w:color w:val="auto"/>
          <w:sz w:val="32"/>
          <w:szCs w:val="32"/>
        </w:rPr>
        <w:t>万元，上年结余</w:t>
      </w:r>
      <w:r>
        <w:rPr>
          <w:rFonts w:hint="default" w:ascii="Times New Roman" w:hAnsi="Times New Roman" w:eastAsia="仿宋_GB2312" w:cs="Times New Roman"/>
          <w:color w:val="auto"/>
          <w:sz w:val="32"/>
          <w:szCs w:val="32"/>
          <w:lang w:val="en-US" w:eastAsia="zh-CN"/>
        </w:rPr>
        <w:t>1302</w:t>
      </w:r>
      <w:r>
        <w:rPr>
          <w:rFonts w:hint="default" w:ascii="Times New Roman" w:hAnsi="Times New Roman" w:eastAsia="仿宋_GB2312" w:cs="Times New Roman"/>
          <w:color w:val="auto"/>
          <w:sz w:val="32"/>
          <w:szCs w:val="32"/>
        </w:rPr>
        <w:t>万元，合计收入</w:t>
      </w:r>
      <w:r>
        <w:rPr>
          <w:rFonts w:hint="default" w:ascii="Times New Roman" w:hAnsi="Times New Roman" w:eastAsia="仿宋_GB2312" w:cs="Times New Roman"/>
          <w:color w:val="auto"/>
          <w:sz w:val="32"/>
          <w:szCs w:val="32"/>
          <w:lang w:val="en-US" w:eastAsia="zh-CN"/>
        </w:rPr>
        <w:t>27830</w:t>
      </w:r>
      <w:r>
        <w:rPr>
          <w:rFonts w:hint="default" w:ascii="Times New Roman" w:hAnsi="Times New Roman" w:eastAsia="仿宋_GB2312" w:cs="Times New Roman"/>
          <w:color w:val="auto"/>
          <w:sz w:val="32"/>
          <w:szCs w:val="32"/>
        </w:rPr>
        <w:t>万元。上半年政府性基金预算支出</w:t>
      </w:r>
      <w:r>
        <w:rPr>
          <w:rFonts w:hint="default" w:ascii="Times New Roman" w:hAnsi="Times New Roman" w:eastAsia="仿宋_GB2312" w:cs="Times New Roman"/>
          <w:color w:val="auto"/>
          <w:sz w:val="32"/>
          <w:szCs w:val="32"/>
          <w:lang w:val="en-US" w:eastAsia="zh-CN"/>
        </w:rPr>
        <w:t>31544</w:t>
      </w:r>
      <w:r>
        <w:rPr>
          <w:rFonts w:hint="default" w:ascii="Times New Roman" w:hAnsi="Times New Roman" w:eastAsia="仿宋_GB2312" w:cs="Times New Roman"/>
          <w:color w:val="auto"/>
          <w:sz w:val="32"/>
          <w:szCs w:val="32"/>
        </w:rPr>
        <w:t>万元，其中：专项债支出</w:t>
      </w:r>
      <w:r>
        <w:rPr>
          <w:rFonts w:hint="default" w:ascii="Times New Roman" w:hAnsi="Times New Roman" w:eastAsia="仿宋_GB2312" w:cs="Times New Roman"/>
          <w:color w:val="auto"/>
          <w:sz w:val="32"/>
          <w:szCs w:val="32"/>
          <w:lang w:val="en-US" w:eastAsia="zh-CN"/>
        </w:rPr>
        <w:t>25900</w:t>
      </w:r>
      <w:r>
        <w:rPr>
          <w:rFonts w:hint="default" w:ascii="Times New Roman" w:hAnsi="Times New Roman" w:eastAsia="仿宋_GB2312" w:cs="Times New Roman"/>
          <w:color w:val="auto"/>
          <w:sz w:val="32"/>
          <w:szCs w:val="32"/>
        </w:rPr>
        <w:t>万元；彩票公益金支出</w:t>
      </w:r>
      <w:r>
        <w:rPr>
          <w:rFonts w:hint="default" w:ascii="Times New Roman" w:hAnsi="Times New Roman" w:eastAsia="仿宋_GB2312" w:cs="Times New Roman"/>
          <w:color w:val="auto"/>
          <w:sz w:val="32"/>
          <w:szCs w:val="32"/>
          <w:lang w:val="en-US" w:eastAsia="zh-CN"/>
        </w:rPr>
        <w:t>276</w:t>
      </w:r>
      <w:r>
        <w:rPr>
          <w:rFonts w:hint="default" w:ascii="Times New Roman" w:hAnsi="Times New Roman" w:eastAsia="仿宋_GB2312" w:cs="Times New Roman"/>
          <w:color w:val="auto"/>
          <w:sz w:val="32"/>
          <w:szCs w:val="32"/>
        </w:rPr>
        <w:t>万元（其中：社会福利支出</w:t>
      </w:r>
      <w:r>
        <w:rPr>
          <w:rFonts w:hint="default" w:ascii="Times New Roman" w:hAnsi="Times New Roman" w:eastAsia="仿宋_GB2312" w:cs="Times New Roman"/>
          <w:color w:val="auto"/>
          <w:sz w:val="32"/>
          <w:szCs w:val="32"/>
          <w:lang w:val="en-US" w:eastAsia="zh-CN"/>
        </w:rPr>
        <w:t>9</w:t>
      </w:r>
      <w:r>
        <w:rPr>
          <w:rFonts w:hint="default" w:ascii="Times New Roman" w:hAnsi="Times New Roman" w:eastAsia="仿宋_GB2312" w:cs="Times New Roman"/>
          <w:color w:val="auto"/>
          <w:sz w:val="32"/>
          <w:szCs w:val="32"/>
        </w:rPr>
        <w:t>8万元、体育事业支出</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Cs/>
          <w:color w:val="auto"/>
          <w:sz w:val="32"/>
          <w:szCs w:val="32"/>
        </w:rPr>
        <w:t>残疾人事业支出</w:t>
      </w:r>
      <w:r>
        <w:rPr>
          <w:rFonts w:hint="default" w:ascii="Times New Roman" w:hAnsi="Times New Roman" w:eastAsia="仿宋_GB2312" w:cs="Times New Roman"/>
          <w:bCs/>
          <w:color w:val="auto"/>
          <w:sz w:val="32"/>
          <w:szCs w:val="32"/>
          <w:lang w:val="en-US" w:eastAsia="zh-CN"/>
        </w:rPr>
        <w:t>175</w:t>
      </w:r>
      <w:r>
        <w:rPr>
          <w:rFonts w:hint="default" w:ascii="Times New Roman" w:hAnsi="Times New Roman" w:eastAsia="仿宋_GB2312" w:cs="Times New Roman"/>
          <w:bCs/>
          <w:color w:val="auto"/>
          <w:sz w:val="32"/>
          <w:szCs w:val="32"/>
        </w:rPr>
        <w:t>万元</w:t>
      </w:r>
      <w:r>
        <w:rPr>
          <w:rFonts w:hint="default" w:ascii="Times New Roman" w:hAnsi="Times New Roman" w:eastAsia="仿宋_GB2312" w:cs="Times New Roman"/>
          <w:color w:val="auto"/>
          <w:sz w:val="32"/>
          <w:szCs w:val="32"/>
        </w:rPr>
        <w:t>）；上级代扣专项债券付息支出</w:t>
      </w:r>
      <w:r>
        <w:rPr>
          <w:rFonts w:hint="default" w:ascii="Times New Roman" w:hAnsi="Times New Roman" w:eastAsia="仿宋_GB2312" w:cs="Times New Roman"/>
          <w:color w:val="auto"/>
          <w:sz w:val="32"/>
          <w:szCs w:val="32"/>
          <w:lang w:val="en-US" w:eastAsia="zh-CN"/>
        </w:rPr>
        <w:t>5345万元</w:t>
      </w:r>
      <w:r>
        <w:rPr>
          <w:rFonts w:hint="default" w:ascii="Times New Roman" w:hAnsi="Times New Roman" w:eastAsia="仿宋_GB2312" w:cs="Times New Roman"/>
          <w:color w:val="auto"/>
          <w:sz w:val="32"/>
          <w:szCs w:val="32"/>
        </w:rPr>
        <w:t>及发行费用</w:t>
      </w:r>
      <w:r>
        <w:rPr>
          <w:rFonts w:hint="default" w:ascii="Times New Roman" w:hAnsi="Times New Roman" w:eastAsia="仿宋_GB2312" w:cs="Times New Roman"/>
          <w:color w:val="auto"/>
          <w:sz w:val="32"/>
          <w:szCs w:val="32"/>
          <w:lang w:val="en-US" w:eastAsia="zh-CN"/>
        </w:rPr>
        <w:t>23</w:t>
      </w:r>
      <w:r>
        <w:rPr>
          <w:rFonts w:hint="default" w:ascii="Times New Roman" w:hAnsi="Times New Roman" w:eastAsia="仿宋_GB2312" w:cs="Times New Roman"/>
          <w:color w:val="auto"/>
          <w:sz w:val="32"/>
          <w:szCs w:val="32"/>
        </w:rPr>
        <w:t>万元。</w:t>
      </w:r>
    </w:p>
    <w:p w14:paraId="23A050F5">
      <w:pPr>
        <w:keepNext w:val="0"/>
        <w:keepLines w:val="0"/>
        <w:pageBreakBefore w:val="0"/>
        <w:kinsoku/>
        <w:wordWrap/>
        <w:overflowPunct/>
        <w:topLinePunct w:val="0"/>
        <w:autoSpaceDE/>
        <w:autoSpaceDN/>
        <w:bidi w:val="0"/>
        <w:adjustRightInd/>
        <w:spacing w:line="576" w:lineRule="exact"/>
        <w:ind w:left="0" w:firstLine="643" w:firstLineChars="200"/>
        <w:jc w:val="both"/>
        <w:textAlignment w:val="auto"/>
        <w:rPr>
          <w:rFonts w:hint="default" w:ascii="Times New Roman" w:hAnsi="Times New Roman" w:eastAsia="楷体_GB2312" w:cs="Times New Roman"/>
          <w:b/>
          <w:bCs/>
          <w:color w:val="auto"/>
          <w:sz w:val="32"/>
          <w:szCs w:val="32"/>
        </w:rPr>
      </w:pPr>
      <w:r>
        <w:rPr>
          <w:rFonts w:hint="default" w:ascii="Times New Roman" w:hAnsi="Times New Roman" w:eastAsia="仿宋_GB2312" w:cs="Times New Roman"/>
          <w:b/>
          <w:bCs/>
          <w:color w:val="auto"/>
          <w:sz w:val="32"/>
          <w:szCs w:val="32"/>
        </w:rPr>
        <w:t>国有资本经营预算执行情况：</w:t>
      </w:r>
      <w:r>
        <w:rPr>
          <w:rFonts w:hint="default" w:ascii="Times New Roman" w:hAnsi="Times New Roman" w:eastAsia="仿宋_GB2312" w:cs="Times New Roman"/>
          <w:color w:val="auto"/>
          <w:sz w:val="32"/>
          <w:szCs w:val="32"/>
        </w:rPr>
        <w:t>上半年上级补助收入206万元；国有资本经营预算支出</w:t>
      </w:r>
      <w:r>
        <w:rPr>
          <w:rFonts w:hint="default" w:ascii="Times New Roman" w:hAnsi="Times New Roman" w:eastAsia="仿宋_GB2312" w:cs="Times New Roman"/>
          <w:color w:val="auto"/>
          <w:sz w:val="32"/>
          <w:szCs w:val="32"/>
          <w:lang w:val="en-US" w:eastAsia="zh-CN"/>
        </w:rPr>
        <w:t>206</w:t>
      </w:r>
      <w:r>
        <w:rPr>
          <w:rFonts w:hint="default" w:ascii="Times New Roman" w:hAnsi="Times New Roman" w:eastAsia="仿宋_GB2312" w:cs="Times New Roman"/>
          <w:color w:val="auto"/>
          <w:sz w:val="32"/>
          <w:szCs w:val="32"/>
        </w:rPr>
        <w:t>万元，主要用于国有企业退休人员社会化管理补助支出。</w:t>
      </w:r>
    </w:p>
    <w:p w14:paraId="2EA8CE5C">
      <w:pPr>
        <w:keepNext w:val="0"/>
        <w:keepLines w:val="0"/>
        <w:pageBreakBefore w:val="0"/>
        <w:kinsoku/>
        <w:wordWrap/>
        <w:overflowPunct/>
        <w:topLinePunct w:val="0"/>
        <w:autoSpaceDE/>
        <w:autoSpaceDN/>
        <w:bidi w:val="0"/>
        <w:adjustRightInd/>
        <w:spacing w:line="576" w:lineRule="exact"/>
        <w:ind w:left="0"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color w:val="auto"/>
          <w:kern w:val="0"/>
          <w:sz w:val="32"/>
          <w:szCs w:val="32"/>
        </w:rPr>
        <w:t>政府性债务情况：</w:t>
      </w:r>
      <w:r>
        <w:rPr>
          <w:rFonts w:hint="default" w:ascii="Times New Roman" w:hAnsi="Times New Roman" w:eastAsia="仿宋_GB2312" w:cs="Times New Roman"/>
          <w:color w:val="auto"/>
          <w:sz w:val="32"/>
          <w:szCs w:val="32"/>
        </w:rPr>
        <w:t>今年上半年积极争取专项债券资金2.59亿元。其中包括杜集经济开发区</w:t>
      </w:r>
      <w:r>
        <w:rPr>
          <w:rFonts w:hint="default" w:ascii="Times New Roman" w:hAnsi="Times New Roman" w:eastAsia="仿宋_GB2312" w:cs="Times New Roman"/>
          <w:color w:val="auto"/>
          <w:sz w:val="32"/>
          <w:szCs w:val="32"/>
          <w:lang w:eastAsia="zh-CN"/>
        </w:rPr>
        <w:t>基础设施及项目建设</w:t>
      </w:r>
      <w:r>
        <w:rPr>
          <w:rFonts w:hint="default" w:ascii="Times New Roman" w:hAnsi="Times New Roman" w:eastAsia="仿宋_GB2312" w:cs="Times New Roman"/>
          <w:color w:val="auto"/>
          <w:sz w:val="32"/>
          <w:szCs w:val="32"/>
          <w:lang w:val="en-US" w:eastAsia="zh-CN"/>
        </w:rPr>
        <w:t>17900万元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乡村振兴建设项目</w:t>
      </w:r>
      <w:r>
        <w:rPr>
          <w:rFonts w:hint="default"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rPr>
        <w:t>000万元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淮北市杜集区群众喝上引调水工程2000万元。2024年我区政府债务限额44.07亿元。截至2024年6月底，我区政府债务余额为43.93亿元，其中一般债券7.54亿元，专项债券36.39亿元，全部为政府债券，在省定限额之内</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风险可控。</w:t>
      </w:r>
      <w:r>
        <w:rPr>
          <w:rFonts w:hint="default" w:ascii="Times New Roman" w:hAnsi="Times New Roman" w:eastAsia="仿宋_GB2312" w:cs="Times New Roman"/>
          <w:color w:val="auto"/>
          <w:sz w:val="32"/>
          <w:szCs w:val="32"/>
          <w:lang w:val="en-US" w:eastAsia="zh-CN"/>
        </w:rPr>
        <w:t>2024年应化解债务24790万元</w:t>
      </w:r>
      <w:r>
        <w:rPr>
          <w:rFonts w:hint="eastAsia" w:ascii="Times New Roman" w:hAnsi="Times New Roman" w:eastAsia="仿宋_GB2312" w:cs="Times New Roman"/>
          <w:color w:val="auto"/>
          <w:sz w:val="32"/>
          <w:szCs w:val="32"/>
          <w:lang w:val="en-US" w:eastAsia="zh-CN"/>
        </w:rPr>
        <w:t>，上半年已化解</w:t>
      </w:r>
      <w:r>
        <w:rPr>
          <w:rFonts w:hint="default" w:ascii="Times New Roman" w:hAnsi="Times New Roman" w:eastAsia="仿宋_GB2312" w:cs="Times New Roman"/>
          <w:color w:val="auto"/>
          <w:sz w:val="32"/>
          <w:szCs w:val="32"/>
          <w:highlight w:val="none"/>
          <w:lang w:val="en-US" w:eastAsia="zh-CN"/>
        </w:rPr>
        <w:t>13959万元，占比56.31%，时间过半，任务过半</w:t>
      </w:r>
      <w:r>
        <w:rPr>
          <w:rFonts w:hint="eastAsia" w:ascii="Times New Roman" w:hAnsi="Times New Roman" w:eastAsia="仿宋_GB2312" w:cs="Times New Roman"/>
          <w:color w:val="auto"/>
          <w:sz w:val="32"/>
          <w:szCs w:val="32"/>
          <w:highlight w:val="none"/>
          <w:lang w:val="en-US" w:eastAsia="zh-CN"/>
        </w:rPr>
        <w:t>；余款10831万元下半年已</w:t>
      </w:r>
      <w:r>
        <w:rPr>
          <w:rFonts w:hint="default" w:ascii="Times New Roman" w:hAnsi="Times New Roman" w:eastAsia="仿宋_GB2312" w:cs="Times New Roman"/>
          <w:color w:val="auto"/>
          <w:sz w:val="32"/>
          <w:szCs w:val="32"/>
          <w:lang w:val="en-US" w:eastAsia="zh-CN"/>
        </w:rPr>
        <w:t>纳入政府还债系统</w:t>
      </w:r>
      <w:r>
        <w:rPr>
          <w:rFonts w:hint="eastAsia" w:ascii="Times New Roman" w:hAnsi="Times New Roman" w:eastAsia="仿宋_GB2312" w:cs="Times New Roman"/>
          <w:color w:val="auto"/>
          <w:sz w:val="32"/>
          <w:szCs w:val="32"/>
          <w:lang w:val="en-US" w:eastAsia="zh-CN"/>
        </w:rPr>
        <w:t>，将按照时间节点有序偿还，</w:t>
      </w:r>
      <w:r>
        <w:rPr>
          <w:rFonts w:hint="eastAsia" w:ascii="Times New Roman" w:hAnsi="Times New Roman" w:eastAsia="仿宋_GB2312" w:cs="Times New Roman"/>
          <w:color w:val="auto"/>
          <w:sz w:val="32"/>
          <w:szCs w:val="32"/>
          <w:highlight w:val="none"/>
          <w:lang w:val="en-US" w:eastAsia="zh-CN"/>
        </w:rPr>
        <w:t>确保实现应偿尽偿</w:t>
      </w:r>
      <w:r>
        <w:rPr>
          <w:rFonts w:hint="default" w:ascii="Times New Roman" w:hAnsi="Times New Roman" w:eastAsia="仿宋_GB2312" w:cs="Times New Roman"/>
          <w:color w:val="auto"/>
          <w:sz w:val="32"/>
          <w:szCs w:val="32"/>
          <w:lang w:val="en-US" w:eastAsia="zh-CN"/>
        </w:rPr>
        <w:t>。</w:t>
      </w:r>
    </w:p>
    <w:p w14:paraId="7B8CB21A">
      <w:pPr>
        <w:keepNext w:val="0"/>
        <w:keepLines w:val="0"/>
        <w:pageBreakBefore w:val="0"/>
        <w:kinsoku/>
        <w:wordWrap/>
        <w:overflowPunct/>
        <w:topLinePunct w:val="0"/>
        <w:autoSpaceDE/>
        <w:autoSpaceDN/>
        <w:bidi w:val="0"/>
        <w:adjustRightInd/>
        <w:spacing w:line="576" w:lineRule="exact"/>
        <w:ind w:left="0" w:firstLine="630" w:firstLineChars="196"/>
        <w:jc w:val="both"/>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rPr>
        <w:t>区本级财政预算执行情况</w:t>
      </w:r>
      <w:r>
        <w:rPr>
          <w:rFonts w:hint="default" w:ascii="Times New Roman" w:hAnsi="Times New Roman" w:eastAsia="仿宋_GB2312" w:cs="Times New Roman"/>
          <w:b/>
          <w:bCs/>
          <w:color w:val="auto"/>
          <w:kern w:val="0"/>
          <w:sz w:val="32"/>
          <w:szCs w:val="32"/>
        </w:rPr>
        <w:t>：</w:t>
      </w:r>
      <w:r>
        <w:rPr>
          <w:rFonts w:hint="default" w:ascii="Times New Roman" w:hAnsi="Times New Roman" w:eastAsia="仿宋_GB2312" w:cs="Times New Roman"/>
          <w:color w:val="auto"/>
          <w:sz w:val="32"/>
        </w:rPr>
        <w:t>上半年区本级财政累计支出</w:t>
      </w:r>
      <w:r>
        <w:rPr>
          <w:rFonts w:hint="default" w:ascii="Times New Roman" w:hAnsi="Times New Roman" w:eastAsia="仿宋_GB2312" w:cs="Times New Roman"/>
          <w:color w:val="auto"/>
          <w:sz w:val="32"/>
          <w:lang w:val="en-US" w:eastAsia="zh-CN"/>
        </w:rPr>
        <w:t>86970</w:t>
      </w:r>
      <w:r>
        <w:rPr>
          <w:rFonts w:hint="default" w:ascii="Times New Roman" w:hAnsi="Times New Roman" w:eastAsia="仿宋_GB2312" w:cs="Times New Roman"/>
          <w:color w:val="auto"/>
          <w:sz w:val="32"/>
        </w:rPr>
        <w:t>万元，完成年预算的72.</w:t>
      </w:r>
      <w:r>
        <w:rPr>
          <w:rFonts w:hint="default" w:ascii="Times New Roman" w:hAnsi="Times New Roman" w:eastAsia="仿宋_GB2312" w:cs="Times New Roman"/>
          <w:color w:val="auto"/>
          <w:sz w:val="32"/>
          <w:lang w:val="en-US" w:eastAsia="zh-CN"/>
        </w:rPr>
        <w:t>5</w:t>
      </w:r>
      <w:r>
        <w:rPr>
          <w:rFonts w:hint="default" w:ascii="Times New Roman" w:hAnsi="Times New Roman" w:eastAsia="仿宋_GB2312" w:cs="Times New Roman"/>
          <w:color w:val="auto"/>
          <w:sz w:val="32"/>
        </w:rPr>
        <w:t>%，同比</w:t>
      </w:r>
      <w:r>
        <w:rPr>
          <w:rFonts w:hint="default" w:ascii="Times New Roman" w:hAnsi="Times New Roman" w:eastAsia="仿宋_GB2312" w:cs="Times New Roman"/>
          <w:color w:val="auto"/>
          <w:sz w:val="32"/>
          <w:lang w:eastAsia="zh-CN"/>
        </w:rPr>
        <w:t>减</w:t>
      </w:r>
      <w:r>
        <w:rPr>
          <w:rFonts w:hint="default" w:ascii="Times New Roman" w:hAnsi="Times New Roman" w:eastAsia="仿宋_GB2312" w:cs="Times New Roman"/>
          <w:color w:val="auto"/>
          <w:sz w:val="32"/>
        </w:rPr>
        <w:t>支</w:t>
      </w:r>
      <w:r>
        <w:rPr>
          <w:rFonts w:hint="default" w:ascii="Times New Roman" w:hAnsi="Times New Roman" w:eastAsia="仿宋_GB2312" w:cs="Times New Roman"/>
          <w:color w:val="auto"/>
          <w:sz w:val="32"/>
          <w:szCs w:val="32"/>
          <w:lang w:val="en-US" w:eastAsia="zh-CN"/>
        </w:rPr>
        <w:t>719</w:t>
      </w:r>
      <w:r>
        <w:rPr>
          <w:rFonts w:hint="default" w:ascii="Times New Roman" w:hAnsi="Times New Roman" w:eastAsia="仿宋_GB2312" w:cs="Times New Roman"/>
          <w:color w:val="auto"/>
          <w:sz w:val="32"/>
        </w:rPr>
        <w:t>万元，</w:t>
      </w:r>
      <w:r>
        <w:rPr>
          <w:rFonts w:hint="default" w:ascii="Times New Roman" w:hAnsi="Times New Roman" w:eastAsia="仿宋_GB2312" w:cs="Times New Roman"/>
          <w:color w:val="auto"/>
          <w:sz w:val="32"/>
          <w:szCs w:val="32"/>
          <w:lang w:eastAsia="zh-CN"/>
        </w:rPr>
        <w:t>下降</w:t>
      </w:r>
      <w:r>
        <w:rPr>
          <w:rFonts w:hint="default" w:ascii="Times New Roman" w:hAnsi="Times New Roman" w:eastAsia="仿宋_GB2312" w:cs="Times New Roman"/>
          <w:color w:val="auto"/>
          <w:sz w:val="32"/>
          <w:szCs w:val="32"/>
          <w:lang w:val="en-US" w:eastAsia="zh-CN"/>
        </w:rPr>
        <w:t>0.8</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rPr>
        <w:t>。</w:t>
      </w:r>
      <w:r>
        <w:rPr>
          <w:rFonts w:hint="default" w:ascii="Times New Roman" w:hAnsi="Times New Roman" w:eastAsia="仿宋_GB2312" w:cs="Times New Roman"/>
          <w:color w:val="auto"/>
          <w:sz w:val="32"/>
          <w:lang w:eastAsia="zh-CN"/>
        </w:rPr>
        <w:t>减</w:t>
      </w:r>
      <w:r>
        <w:rPr>
          <w:rFonts w:hint="default" w:ascii="Times New Roman" w:hAnsi="Times New Roman" w:eastAsia="仿宋_GB2312" w:cs="Times New Roman"/>
          <w:color w:val="auto"/>
          <w:sz w:val="32"/>
        </w:rPr>
        <w:t>支主要原</w:t>
      </w:r>
      <w:r>
        <w:rPr>
          <w:rFonts w:hint="default" w:ascii="Times New Roman" w:hAnsi="Times New Roman" w:eastAsia="仿宋_GB2312" w:cs="Times New Roman"/>
          <w:color w:val="auto"/>
          <w:sz w:val="32"/>
          <w:szCs w:val="32"/>
        </w:rPr>
        <w:t>因</w:t>
      </w:r>
      <w:r>
        <w:rPr>
          <w:rFonts w:hint="default" w:ascii="Times New Roman" w:hAnsi="Times New Roman" w:eastAsia="仿宋_GB2312" w:cs="Times New Roman"/>
          <w:color w:val="auto"/>
          <w:sz w:val="32"/>
          <w:szCs w:val="32"/>
          <w:lang w:eastAsia="zh-CN"/>
        </w:rPr>
        <w:t>：一是</w:t>
      </w:r>
      <w:r>
        <w:rPr>
          <w:rFonts w:hint="default" w:ascii="Times New Roman" w:hAnsi="Times New Roman" w:eastAsia="仿宋_GB2312" w:cs="Times New Roman"/>
          <w:color w:val="auto"/>
          <w:sz w:val="32"/>
          <w:szCs w:val="32"/>
        </w:rPr>
        <w:t>机构改革后，法院和检察院经费由市级负担</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lang w:eastAsia="zh-CN"/>
        </w:rPr>
        <w:t>二是</w:t>
      </w:r>
      <w:r>
        <w:rPr>
          <w:rFonts w:hint="default" w:ascii="Times New Roman" w:hAnsi="Times New Roman" w:eastAsia="仿宋_GB2312" w:cs="Times New Roman"/>
          <w:color w:val="auto"/>
          <w:sz w:val="32"/>
          <w:lang w:val="en-US" w:eastAsia="zh-CN"/>
        </w:rPr>
        <w:t>不可比因素，去年同期拨付龙岱河治理工程资金和引调水工程资金</w:t>
      </w:r>
      <w:r>
        <w:rPr>
          <w:rFonts w:hint="default" w:ascii="Times New Roman" w:hAnsi="Times New Roman" w:eastAsia="仿宋_GB2312" w:cs="Times New Roman"/>
          <w:color w:val="auto"/>
          <w:sz w:val="32"/>
        </w:rPr>
        <w:t>（具体分类支出情况见附表五）</w:t>
      </w:r>
      <w:r>
        <w:rPr>
          <w:rFonts w:hint="default" w:ascii="Times New Roman" w:hAnsi="Times New Roman" w:eastAsia="仿宋_GB2312" w:cs="Times New Roman"/>
          <w:color w:val="auto"/>
          <w:sz w:val="32"/>
          <w:lang w:eastAsia="zh-CN"/>
        </w:rPr>
        <w:t>。</w:t>
      </w:r>
    </w:p>
    <w:p w14:paraId="724536EA">
      <w:pPr>
        <w:pStyle w:val="15"/>
        <w:keepNext w:val="0"/>
        <w:keepLines w:val="0"/>
        <w:pageBreakBefore w:val="0"/>
        <w:kinsoku/>
        <w:wordWrap/>
        <w:overflowPunct/>
        <w:topLinePunct w:val="0"/>
        <w:autoSpaceDE/>
        <w:autoSpaceDN/>
        <w:bidi w:val="0"/>
        <w:adjustRightInd/>
        <w:spacing w:before="0" w:beforeAutospacing="0" w:after="0" w:afterAutospacing="0" w:line="576" w:lineRule="exact"/>
        <w:ind w:left="0"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rPr>
        <w:t>从202</w:t>
      </w:r>
      <w:r>
        <w:rPr>
          <w:rFonts w:hint="default" w:ascii="Times New Roman" w:hAnsi="Times New Roman" w:eastAsia="仿宋_GB2312" w:cs="Times New Roman"/>
          <w:color w:val="auto"/>
          <w:sz w:val="32"/>
          <w:lang w:val="en-US" w:eastAsia="zh-CN"/>
        </w:rPr>
        <w:t>3</w:t>
      </w:r>
      <w:r>
        <w:rPr>
          <w:rFonts w:hint="default" w:ascii="Times New Roman" w:hAnsi="Times New Roman" w:eastAsia="仿宋_GB2312" w:cs="Times New Roman"/>
          <w:color w:val="auto"/>
          <w:sz w:val="32"/>
        </w:rPr>
        <w:t>年财政决算和202</w:t>
      </w:r>
      <w:r>
        <w:rPr>
          <w:rFonts w:hint="default" w:ascii="Times New Roman" w:hAnsi="Times New Roman" w:eastAsia="仿宋_GB2312" w:cs="Times New Roman"/>
          <w:color w:val="auto"/>
          <w:sz w:val="32"/>
          <w:lang w:val="en-US" w:eastAsia="zh-CN"/>
        </w:rPr>
        <w:t>4</w:t>
      </w:r>
      <w:r>
        <w:rPr>
          <w:rFonts w:hint="default" w:ascii="Times New Roman" w:hAnsi="Times New Roman" w:eastAsia="仿宋_GB2312" w:cs="Times New Roman"/>
          <w:color w:val="auto"/>
          <w:sz w:val="32"/>
        </w:rPr>
        <w:t>年上半年财政预算执行情况来看，</w:t>
      </w:r>
      <w:r>
        <w:rPr>
          <w:rFonts w:hint="default" w:ascii="Times New Roman" w:hAnsi="Times New Roman" w:eastAsia="仿宋_GB2312" w:cs="Times New Roman"/>
          <w:color w:val="auto"/>
          <w:sz w:val="32"/>
          <w:szCs w:val="32"/>
        </w:rPr>
        <w:t>财政部门在区委的正确领导下，在区人大及其常委会的监督支持下，区财政局坚持以习近平新时代中国特色社会主义思想为指导，</w:t>
      </w:r>
      <w:r>
        <w:rPr>
          <w:rFonts w:hint="default" w:ascii="Times New Roman" w:hAnsi="Times New Roman" w:eastAsia="仿宋_GB2312" w:cs="Times New Roman"/>
          <w:color w:val="auto"/>
          <w:sz w:val="32"/>
          <w:szCs w:val="32"/>
          <w:highlight w:val="none"/>
          <w:lang w:val="en-US" w:eastAsia="zh-CN"/>
        </w:rPr>
        <w:t>严格贯彻中央、省市经济工作会议精神，充分发挥财政职能作用，围绕全年财政收入目标，扎实组织抓税收</w:t>
      </w:r>
      <w:r>
        <w:rPr>
          <w:rFonts w:hint="default" w:ascii="Times New Roman" w:hAnsi="Times New Roman" w:eastAsia="仿宋_GB2312" w:cs="Times New Roman"/>
          <w:color w:val="auto"/>
          <w:sz w:val="32"/>
          <w:szCs w:val="32"/>
        </w:rPr>
        <w:t>，优化结构抓支出，改革创新抓管理，全区财政运行呈现结构优良、支出有序的态势，为</w:t>
      </w:r>
      <w:r>
        <w:rPr>
          <w:rFonts w:hint="default" w:ascii="Times New Roman" w:hAnsi="Times New Roman" w:eastAsia="仿宋_GB2312" w:cs="Times New Roman"/>
          <w:color w:val="auto"/>
          <w:sz w:val="32"/>
          <w:szCs w:val="32"/>
          <w:lang w:eastAsia="zh-CN"/>
        </w:rPr>
        <w:t>杜集经济高质量发展</w:t>
      </w:r>
      <w:r>
        <w:rPr>
          <w:rFonts w:hint="default" w:ascii="Times New Roman" w:hAnsi="Times New Roman" w:eastAsia="仿宋_GB2312" w:cs="Times New Roman"/>
          <w:color w:val="auto"/>
          <w:sz w:val="32"/>
          <w:szCs w:val="32"/>
        </w:rPr>
        <w:t>提供坚实财力保障。</w:t>
      </w:r>
    </w:p>
    <w:p w14:paraId="25A8FF50">
      <w:pPr>
        <w:pStyle w:val="15"/>
        <w:keepNext w:val="0"/>
        <w:keepLines w:val="0"/>
        <w:pageBreakBefore w:val="0"/>
        <w:widowControl w:val="0"/>
        <w:kinsoku/>
        <w:wordWrap/>
        <w:overflowPunct/>
        <w:topLinePunct w:val="0"/>
        <w:autoSpaceDE/>
        <w:autoSpaceDN/>
        <w:bidi w:val="0"/>
        <w:adjustRightInd/>
        <w:spacing w:before="0" w:beforeAutospacing="0" w:after="0" w:afterAutospacing="0" w:line="576" w:lineRule="exact"/>
        <w:ind w:left="0" w:firstLine="584"/>
        <w:jc w:val="both"/>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二、202</w:t>
      </w:r>
      <w:r>
        <w:rPr>
          <w:rFonts w:hint="default" w:ascii="Times New Roman" w:hAnsi="Times New Roman" w:eastAsia="黑体" w:cs="Times New Roman"/>
          <w:color w:val="auto"/>
          <w:sz w:val="32"/>
          <w:szCs w:val="32"/>
          <w:lang w:val="en-US" w:eastAsia="zh-CN"/>
        </w:rPr>
        <w:t>4</w:t>
      </w:r>
      <w:r>
        <w:rPr>
          <w:rFonts w:hint="default" w:ascii="Times New Roman" w:hAnsi="Times New Roman" w:eastAsia="黑体" w:cs="Times New Roman"/>
          <w:color w:val="auto"/>
          <w:sz w:val="32"/>
          <w:szCs w:val="32"/>
        </w:rPr>
        <w:t>年上半年财政主要工作</w:t>
      </w:r>
    </w:p>
    <w:p w14:paraId="2271E93E">
      <w:pPr>
        <w:keepNext w:val="0"/>
        <w:keepLines w:val="0"/>
        <w:pageBreakBefore w:val="0"/>
        <w:numPr>
          <w:ilvl w:val="0"/>
          <w:numId w:val="0"/>
        </w:numPr>
        <w:kinsoku/>
        <w:wordWrap/>
        <w:overflowPunct/>
        <w:topLinePunct w:val="0"/>
        <w:autoSpaceDE/>
        <w:autoSpaceDN/>
        <w:bidi w:val="0"/>
        <w:adjustRightInd/>
        <w:spacing w:line="576" w:lineRule="exact"/>
        <w:ind w:firstLine="643" w:firstLineChars="200"/>
        <w:jc w:val="both"/>
        <w:textAlignment w:val="auto"/>
        <w:rPr>
          <w:rFonts w:hint="default" w:ascii="Times New Roman" w:hAnsi="Times New Roman" w:cs="Times New Roman"/>
          <w:color w:val="auto"/>
        </w:rPr>
      </w:pPr>
      <w:r>
        <w:rPr>
          <w:rFonts w:hint="eastAsia" w:ascii="Times New Roman" w:hAnsi="Times New Roman" w:eastAsia="楷体_GB2312" w:cs="Times New Roman"/>
          <w:b/>
          <w:bCs/>
          <w:color w:val="auto"/>
          <w:sz w:val="32"/>
          <w:szCs w:val="32"/>
          <w:lang w:eastAsia="zh-CN"/>
        </w:rPr>
        <w:t>（一）</w:t>
      </w:r>
      <w:r>
        <w:rPr>
          <w:rFonts w:hint="default" w:ascii="Times New Roman" w:hAnsi="Times New Roman" w:eastAsia="楷体_GB2312" w:cs="Times New Roman"/>
          <w:b/>
          <w:bCs/>
          <w:color w:val="auto"/>
          <w:sz w:val="32"/>
          <w:szCs w:val="32"/>
        </w:rPr>
        <w:t>财政收入逐步增加。</w:t>
      </w:r>
      <w:r>
        <w:rPr>
          <w:rFonts w:hint="default" w:ascii="Times New Roman" w:hAnsi="Times New Roman" w:eastAsia="仿宋_GB2312" w:cs="Times New Roman"/>
          <w:color w:val="auto"/>
          <w:sz w:val="32"/>
          <w:szCs w:val="32"/>
        </w:rPr>
        <w:t>今年上半年以来，财政部门努力克服减税降费政策、新增税源匮乏、非税收入减少等因素影响，</w:t>
      </w:r>
      <w:r>
        <w:rPr>
          <w:rFonts w:hint="eastAsia" w:ascii="Times New Roman" w:hAnsi="Times New Roman" w:eastAsia="仿宋_GB2312" w:cs="Times New Roman"/>
          <w:color w:val="auto"/>
          <w:sz w:val="32"/>
          <w:szCs w:val="32"/>
          <w:lang w:eastAsia="zh-CN"/>
        </w:rPr>
        <w:t>依法组织税收，加强对重点税源的监控，确保重点项目税收应收尽收，积极协调口子酒业税收，加大税收清欠力度和对上争取资金力度</w:t>
      </w:r>
      <w:r>
        <w:rPr>
          <w:rFonts w:hint="default" w:ascii="Times New Roman" w:hAnsi="Times New Roman" w:eastAsia="仿宋_GB2312" w:cs="Times New Roman"/>
          <w:color w:val="auto"/>
          <w:sz w:val="32"/>
          <w:szCs w:val="32"/>
        </w:rPr>
        <w:t>。1-6月份全区一般公共预算收入完成</w:t>
      </w:r>
      <w:r>
        <w:rPr>
          <w:rFonts w:hint="default" w:ascii="Times New Roman" w:hAnsi="Times New Roman" w:eastAsia="仿宋_GB2312" w:cs="Times New Roman"/>
          <w:color w:val="auto"/>
          <w:sz w:val="32"/>
          <w:szCs w:val="32"/>
          <w:lang w:val="en-US" w:eastAsia="zh-CN"/>
        </w:rPr>
        <w:t>40547</w:t>
      </w:r>
      <w:r>
        <w:rPr>
          <w:rFonts w:hint="default" w:ascii="Times New Roman" w:hAnsi="Times New Roman" w:eastAsia="仿宋_GB2312" w:cs="Times New Roman"/>
          <w:color w:val="auto"/>
          <w:sz w:val="32"/>
          <w:szCs w:val="32"/>
        </w:rPr>
        <w:t>万元，同比增长</w:t>
      </w:r>
      <w:r>
        <w:rPr>
          <w:rFonts w:hint="default"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rPr>
        <w:t>%。</w:t>
      </w:r>
    </w:p>
    <w:p w14:paraId="6BEADB71">
      <w:pPr>
        <w:keepNext w:val="0"/>
        <w:keepLines w:val="0"/>
        <w:pageBreakBefore w:val="0"/>
        <w:kinsoku/>
        <w:wordWrap/>
        <w:overflowPunct/>
        <w:topLinePunct w:val="0"/>
        <w:autoSpaceDE/>
        <w:autoSpaceDN/>
        <w:bidi w:val="0"/>
        <w:adjustRightInd/>
        <w:spacing w:line="576" w:lineRule="exact"/>
        <w:ind w:left="0"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bCs/>
          <w:color w:val="auto"/>
          <w:sz w:val="32"/>
          <w:szCs w:val="32"/>
        </w:rPr>
        <w:t>（二）支出结构不断优化。</w:t>
      </w:r>
      <w:r>
        <w:rPr>
          <w:rFonts w:hint="default" w:ascii="Times New Roman" w:hAnsi="Times New Roman" w:eastAsia="仿宋_GB2312" w:cs="Times New Roman"/>
          <w:color w:val="auto"/>
          <w:sz w:val="32"/>
          <w:szCs w:val="32"/>
        </w:rPr>
        <w:t>发挥好财政资金“精准补短板”和“民生兜底线”作用，重点保障基本民生领域的投入，兜牢“三保”底线。上半年全区财政支出</w:t>
      </w:r>
      <w:r>
        <w:rPr>
          <w:rFonts w:hint="default" w:ascii="Times New Roman" w:hAnsi="Times New Roman" w:eastAsia="仿宋_GB2312" w:cs="Times New Roman"/>
          <w:color w:val="auto"/>
          <w:sz w:val="32"/>
          <w:szCs w:val="32"/>
          <w:lang w:val="en-US" w:eastAsia="zh-CN"/>
        </w:rPr>
        <w:t>95785</w:t>
      </w:r>
      <w:r>
        <w:rPr>
          <w:rFonts w:hint="default" w:ascii="Times New Roman" w:hAnsi="Times New Roman" w:eastAsia="仿宋_GB2312" w:cs="Times New Roman"/>
          <w:color w:val="auto"/>
          <w:sz w:val="32"/>
          <w:szCs w:val="32"/>
        </w:rPr>
        <w:t>万元，同比增长</w:t>
      </w:r>
      <w:r>
        <w:rPr>
          <w:rFonts w:hint="default" w:ascii="Times New Roman" w:hAnsi="Times New Roman" w:eastAsia="仿宋_GB2312" w:cs="Times New Roman"/>
          <w:color w:val="auto"/>
          <w:sz w:val="32"/>
          <w:szCs w:val="32"/>
          <w:lang w:val="en-US" w:eastAsia="zh-CN"/>
        </w:rPr>
        <w:t>0.7</w:t>
      </w:r>
      <w:r>
        <w:rPr>
          <w:rFonts w:hint="default" w:ascii="Times New Roman" w:hAnsi="Times New Roman" w:eastAsia="仿宋_GB2312" w:cs="Times New Roman"/>
          <w:color w:val="auto"/>
          <w:sz w:val="32"/>
          <w:szCs w:val="32"/>
        </w:rPr>
        <w:t>%。其中民生支出</w:t>
      </w:r>
      <w:r>
        <w:rPr>
          <w:rFonts w:hint="default" w:ascii="Times New Roman" w:hAnsi="Times New Roman" w:eastAsia="仿宋_GB2312" w:cs="Times New Roman"/>
          <w:color w:val="auto"/>
          <w:sz w:val="32"/>
          <w:szCs w:val="32"/>
          <w:lang w:val="en-US" w:eastAsia="zh-CN"/>
        </w:rPr>
        <w:t>89514</w:t>
      </w:r>
      <w:r>
        <w:rPr>
          <w:rFonts w:hint="default" w:ascii="Times New Roman" w:hAnsi="Times New Roman" w:eastAsia="仿宋_GB2312" w:cs="Times New Roman"/>
          <w:color w:val="auto"/>
          <w:sz w:val="32"/>
          <w:szCs w:val="32"/>
        </w:rPr>
        <w:t>万元，占比9</w:t>
      </w:r>
      <w:r>
        <w:rPr>
          <w:rFonts w:hint="default" w:ascii="Times New Roman" w:hAnsi="Times New Roman" w:eastAsia="仿宋_GB2312" w:cs="Times New Roman"/>
          <w:color w:val="auto"/>
          <w:sz w:val="32"/>
          <w:szCs w:val="32"/>
          <w:lang w:val="en-US" w:eastAsia="zh-CN"/>
        </w:rPr>
        <w:t>3.5</w:t>
      </w:r>
      <w:r>
        <w:rPr>
          <w:rFonts w:hint="default" w:ascii="Times New Roman" w:hAnsi="Times New Roman" w:eastAsia="仿宋_GB2312" w:cs="Times New Roman"/>
          <w:color w:val="auto"/>
          <w:sz w:val="32"/>
          <w:szCs w:val="32"/>
        </w:rPr>
        <w:t>%。在“三保”基础上，</w:t>
      </w:r>
      <w:r>
        <w:rPr>
          <w:rFonts w:hint="default" w:ascii="Times New Roman" w:hAnsi="Times New Roman" w:eastAsia="仿宋_GB2312" w:cs="Times New Roman"/>
          <w:b w:val="0"/>
          <w:bCs w:val="0"/>
          <w:i w:val="0"/>
          <w:iCs w:val="0"/>
          <w:caps w:val="0"/>
          <w:color w:val="auto"/>
          <w:spacing w:val="0"/>
          <w:sz w:val="32"/>
          <w:szCs w:val="32"/>
          <w:highlight w:val="none"/>
          <w:shd w:val="clear" w:color="auto" w:fill="FFFFFF"/>
          <w:lang w:val="en-US" w:eastAsia="zh-CN"/>
        </w:rPr>
        <w:t>着力保障教育、科技、</w:t>
      </w:r>
      <w:r>
        <w:rPr>
          <w:rFonts w:hint="eastAsia" w:ascii="Times New Roman" w:hAnsi="Times New Roman" w:eastAsia="仿宋_GB2312" w:cs="Times New Roman"/>
          <w:b w:val="0"/>
          <w:bCs w:val="0"/>
          <w:i w:val="0"/>
          <w:iCs w:val="0"/>
          <w:caps w:val="0"/>
          <w:color w:val="auto"/>
          <w:spacing w:val="0"/>
          <w:sz w:val="32"/>
          <w:szCs w:val="32"/>
          <w:highlight w:val="none"/>
          <w:shd w:val="clear" w:color="auto" w:fill="FFFFFF"/>
          <w:lang w:val="en-US" w:eastAsia="zh-CN"/>
        </w:rPr>
        <w:t>社会保障和就业</w:t>
      </w:r>
      <w:r>
        <w:rPr>
          <w:rFonts w:hint="default" w:ascii="Times New Roman" w:hAnsi="Times New Roman" w:eastAsia="仿宋_GB2312" w:cs="Times New Roman"/>
          <w:b w:val="0"/>
          <w:bCs w:val="0"/>
          <w:i w:val="0"/>
          <w:iCs w:val="0"/>
          <w:caps w:val="0"/>
          <w:color w:val="auto"/>
          <w:spacing w:val="0"/>
          <w:sz w:val="32"/>
          <w:szCs w:val="32"/>
          <w:highlight w:val="none"/>
          <w:shd w:val="clear" w:color="auto" w:fill="FFFFFF"/>
          <w:lang w:val="en-US" w:eastAsia="zh-CN"/>
        </w:rPr>
        <w:t>等民生领域的资金需求</w:t>
      </w:r>
      <w:r>
        <w:rPr>
          <w:rFonts w:hint="default" w:ascii="Times New Roman" w:hAnsi="Times New Roman" w:eastAsia="仿宋_GB2312" w:cs="Times New Roman"/>
          <w:color w:val="auto"/>
          <w:sz w:val="32"/>
          <w:szCs w:val="32"/>
        </w:rPr>
        <w:t>。</w:t>
      </w:r>
    </w:p>
    <w:p w14:paraId="2864294B">
      <w:pPr>
        <w:keepNext w:val="0"/>
        <w:keepLines w:val="0"/>
        <w:pageBreakBefore w:val="0"/>
        <w:kinsoku/>
        <w:wordWrap/>
        <w:overflowPunct/>
        <w:topLinePunct w:val="0"/>
        <w:autoSpaceDE/>
        <w:autoSpaceDN/>
        <w:bidi w:val="0"/>
        <w:adjustRightInd/>
        <w:spacing w:line="576" w:lineRule="exact"/>
        <w:ind w:left="0"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bCs/>
          <w:color w:val="auto"/>
          <w:sz w:val="32"/>
          <w:szCs w:val="32"/>
        </w:rPr>
        <w:t>（三）财政改革稳步推进。</w:t>
      </w:r>
      <w:r>
        <w:rPr>
          <w:rFonts w:hint="default" w:ascii="Times New Roman" w:hAnsi="Times New Roman" w:eastAsia="仿宋_GB2312" w:cs="Times New Roman"/>
          <w:color w:val="auto"/>
          <w:sz w:val="32"/>
          <w:szCs w:val="32"/>
        </w:rPr>
        <w:t>进一步深化零基预算改革，不断提高预算编制水平</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推进</w:t>
      </w:r>
      <w:r>
        <w:rPr>
          <w:rFonts w:hint="default" w:ascii="Times New Roman" w:hAnsi="Times New Roman" w:eastAsia="仿宋_GB2312" w:cs="Times New Roman"/>
          <w:b w:val="0"/>
          <w:bCs w:val="0"/>
          <w:color w:val="auto"/>
          <w:sz w:val="32"/>
          <w:szCs w:val="32"/>
          <w:highlight w:val="none"/>
          <w:lang w:val="en-US" w:eastAsia="zh-CN"/>
        </w:rPr>
        <w:t>预算管理一体化系统管理，落实预算管理一体化系统考核，做好全区预算单位指标日常</w:t>
      </w:r>
      <w:r>
        <w:rPr>
          <w:rFonts w:hint="default" w:ascii="Times New Roman" w:hAnsi="Times New Roman" w:eastAsia="仿宋_GB2312" w:cs="Times New Roman"/>
          <w:color w:val="auto"/>
          <w:sz w:val="32"/>
          <w:szCs w:val="32"/>
          <w:highlight w:val="none"/>
          <w:lang w:val="en-US" w:eastAsia="zh-CN"/>
        </w:rPr>
        <w:t>管理，对部门预算精度、政府预算收支及调入调出平衡、本级可用财力与支出匹配情况等数据定期维护，做好“三保”指标标识维护。</w:t>
      </w:r>
      <w:r>
        <w:rPr>
          <w:rFonts w:hint="default" w:ascii="Times New Roman" w:hAnsi="Times New Roman" w:eastAsia="仿宋_GB2312" w:cs="Times New Roman"/>
          <w:b w:val="0"/>
          <w:bCs w:val="0"/>
          <w:color w:val="auto"/>
          <w:sz w:val="32"/>
          <w:szCs w:val="32"/>
          <w:highlight w:val="none"/>
          <w:lang w:val="en-US" w:eastAsia="zh-CN"/>
        </w:rPr>
        <w:t>完善</w:t>
      </w:r>
      <w:r>
        <w:rPr>
          <w:rFonts w:hint="default" w:ascii="Times New Roman" w:hAnsi="Times New Roman" w:eastAsia="仿宋_GB2312" w:cs="Times New Roman"/>
          <w:color w:val="auto"/>
          <w:sz w:val="32"/>
          <w:szCs w:val="32"/>
          <w:highlight w:val="none"/>
          <w:lang w:val="en-US" w:eastAsia="zh-CN"/>
        </w:rPr>
        <w:t>直达资金的执行监控，督促直达资金拨付，提高直达资金使用效益。进一</w:t>
      </w:r>
      <w:r>
        <w:rPr>
          <w:rFonts w:hint="default" w:ascii="Times New Roman" w:hAnsi="Times New Roman" w:eastAsia="仿宋_GB2312" w:cs="Times New Roman"/>
          <w:b w:val="0"/>
          <w:bCs w:val="0"/>
          <w:color w:val="auto"/>
          <w:sz w:val="32"/>
          <w:szCs w:val="32"/>
          <w:highlight w:val="none"/>
          <w:lang w:val="en-US" w:eastAsia="zh-CN"/>
        </w:rPr>
        <w:t>步夯实资产管理基础，</w:t>
      </w:r>
      <w:r>
        <w:rPr>
          <w:rFonts w:hint="default" w:ascii="Times New Roman" w:hAnsi="Times New Roman" w:eastAsia="仿宋_GB2312" w:cs="Times New Roman"/>
          <w:color w:val="auto"/>
          <w:sz w:val="32"/>
          <w:szCs w:val="32"/>
          <w:highlight w:val="none"/>
          <w:lang w:val="en-US" w:eastAsia="zh-CN"/>
        </w:rPr>
        <w:t>加大闲置资产盘活力度，持续推进资产共享共用，形成厉行节约的良好风气。截至目前，我区依托预算</w:t>
      </w:r>
      <w:r>
        <w:rPr>
          <w:rFonts w:hint="eastAsia" w:ascii="Times New Roman" w:hAnsi="Times New Roman" w:eastAsia="仿宋_GB2312" w:cs="Times New Roman"/>
          <w:color w:val="auto"/>
          <w:sz w:val="32"/>
          <w:szCs w:val="32"/>
          <w:highlight w:val="none"/>
          <w:lang w:val="en-US" w:eastAsia="zh-CN"/>
        </w:rPr>
        <w:t>管理</w:t>
      </w:r>
      <w:r>
        <w:rPr>
          <w:rFonts w:hint="default" w:ascii="Times New Roman" w:hAnsi="Times New Roman" w:eastAsia="仿宋_GB2312" w:cs="Times New Roman"/>
          <w:color w:val="auto"/>
          <w:sz w:val="32"/>
          <w:szCs w:val="32"/>
          <w:highlight w:val="none"/>
          <w:lang w:val="en-US" w:eastAsia="zh-CN"/>
        </w:rPr>
        <w:t>一体化平台公物仓模块盘活闲置资产8809件，价值2518.36万元。</w:t>
      </w:r>
    </w:p>
    <w:p w14:paraId="32956017">
      <w:pPr>
        <w:keepNext w:val="0"/>
        <w:keepLines w:val="0"/>
        <w:pageBreakBefore w:val="0"/>
        <w:widowControl w:val="0"/>
        <w:kinsoku/>
        <w:wordWrap/>
        <w:overflowPunct/>
        <w:topLinePunct w:val="0"/>
        <w:autoSpaceDE/>
        <w:autoSpaceDN/>
        <w:bidi w:val="0"/>
        <w:adjustRightInd/>
        <w:snapToGrid/>
        <w:spacing w:line="576" w:lineRule="exact"/>
        <w:ind w:left="0" w:leftChars="0" w:firstLine="643" w:firstLineChars="200"/>
        <w:jc w:val="both"/>
        <w:textAlignment w:val="auto"/>
        <w:rPr>
          <w:rFonts w:hint="default" w:ascii="Times New Roman" w:hAnsi="Times New Roman" w:eastAsia="楷体_GB2312" w:cs="Times New Roman"/>
          <w:color w:val="auto"/>
          <w:kern w:val="0"/>
          <w:sz w:val="32"/>
          <w:szCs w:val="32"/>
        </w:rPr>
      </w:pPr>
      <w:r>
        <w:rPr>
          <w:rFonts w:hint="default" w:ascii="Times New Roman" w:hAnsi="Times New Roman" w:eastAsia="楷体_GB2312" w:cs="Times New Roman"/>
          <w:b/>
          <w:bCs/>
          <w:color w:val="auto"/>
          <w:kern w:val="0"/>
          <w:sz w:val="32"/>
          <w:szCs w:val="32"/>
        </w:rPr>
        <w:t>（四）财会监督落实到位。</w:t>
      </w:r>
      <w:r>
        <w:rPr>
          <w:rFonts w:hint="default" w:ascii="Times New Roman" w:hAnsi="Times New Roman" w:eastAsia="仿宋_GB2312" w:cs="Times New Roman"/>
          <w:color w:val="auto"/>
          <w:sz w:val="32"/>
          <w:szCs w:val="32"/>
        </w:rPr>
        <w:t>完善预算管理一体化系统、中央直达资金系统、乡镇财政资金系统、国有资产管理系统等信息化建设管理。</w:t>
      </w:r>
      <w:r>
        <w:rPr>
          <w:rFonts w:hint="eastAsia" w:ascii="Times New Roman" w:hAnsi="Times New Roman" w:eastAsia="仿宋_GB2312" w:cs="Times New Roman"/>
          <w:color w:val="auto"/>
          <w:sz w:val="32"/>
          <w:szCs w:val="32"/>
          <w:lang w:eastAsia="zh-CN"/>
        </w:rPr>
        <w:t>扎</w:t>
      </w:r>
      <w:r>
        <w:rPr>
          <w:rFonts w:hint="default" w:ascii="Times New Roman" w:hAnsi="Times New Roman" w:eastAsia="仿宋_GB2312" w:cs="Times New Roman"/>
          <w:color w:val="auto"/>
          <w:sz w:val="32"/>
          <w:szCs w:val="32"/>
        </w:rPr>
        <w:t>实开展财会监督检查，</w:t>
      </w:r>
      <w:r>
        <w:rPr>
          <w:rFonts w:hint="default" w:ascii="Times New Roman" w:hAnsi="Times New Roman" w:eastAsia="仿宋_GB2312" w:cs="Times New Roman"/>
          <w:b w:val="0"/>
          <w:bCs w:val="0"/>
          <w:color w:val="auto"/>
          <w:sz w:val="32"/>
          <w:szCs w:val="32"/>
          <w:highlight w:val="none"/>
          <w:lang w:val="en-US" w:eastAsia="zh-CN"/>
        </w:rPr>
        <w:t>1月份开展“小金库”专项清查，6月份开展财政四项重点检查工作，涉及“三公”经费、“小金库”、内部控制以及政府采购情况等工作</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b w:val="0"/>
          <w:bCs w:val="0"/>
          <w:color w:val="auto"/>
          <w:kern w:val="2"/>
          <w:sz w:val="32"/>
          <w:szCs w:val="32"/>
          <w:lang w:val="en-US" w:eastAsia="zh-CN" w:bidi="ar-SA"/>
        </w:rPr>
        <w:t>组织预算单位开展2024年度区级预算部门预算项目支出和整体支出绩效自评，构建事前、事中、事后</w:t>
      </w:r>
      <w:r>
        <w:rPr>
          <w:rFonts w:hint="eastAsia" w:ascii="Times New Roman" w:hAnsi="Times New Roman" w:eastAsia="仿宋_GB2312" w:cs="Times New Roman"/>
          <w:b w:val="0"/>
          <w:bCs w:val="0"/>
          <w:color w:val="auto"/>
          <w:kern w:val="2"/>
          <w:sz w:val="32"/>
          <w:szCs w:val="32"/>
          <w:lang w:val="en-US" w:eastAsia="zh-CN" w:bidi="ar-SA"/>
        </w:rPr>
        <w:t>绩效</w:t>
      </w:r>
      <w:r>
        <w:rPr>
          <w:rFonts w:hint="default" w:ascii="Times New Roman" w:hAnsi="Times New Roman" w:eastAsia="仿宋_GB2312" w:cs="Times New Roman"/>
          <w:b w:val="0"/>
          <w:bCs w:val="0"/>
          <w:color w:val="auto"/>
          <w:kern w:val="2"/>
          <w:sz w:val="32"/>
          <w:szCs w:val="32"/>
          <w:lang w:val="en-US" w:eastAsia="zh-CN" w:bidi="ar-SA"/>
        </w:rPr>
        <w:t>管理闭环系统，把财政评价结果纳入政府绩效考核体系。</w:t>
      </w:r>
    </w:p>
    <w:p w14:paraId="7A1381FF">
      <w:pPr>
        <w:keepNext w:val="0"/>
        <w:keepLines w:val="0"/>
        <w:pageBreakBefore w:val="0"/>
        <w:kinsoku/>
        <w:wordWrap/>
        <w:overflowPunct/>
        <w:topLinePunct w:val="0"/>
        <w:autoSpaceDE/>
        <w:autoSpaceDN/>
        <w:bidi w:val="0"/>
        <w:adjustRightInd/>
        <w:spacing w:line="576" w:lineRule="exact"/>
        <w:ind w:left="0" w:firstLine="643" w:firstLineChars="200"/>
        <w:jc w:val="both"/>
        <w:textAlignment w:val="auto"/>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kern w:val="0"/>
          <w:sz w:val="32"/>
          <w:szCs w:val="32"/>
        </w:rPr>
        <w:t>（五）</w:t>
      </w:r>
      <w:r>
        <w:rPr>
          <w:rFonts w:hint="default" w:ascii="Times New Roman" w:hAnsi="Times New Roman" w:eastAsia="楷体_GB2312" w:cs="Times New Roman"/>
          <w:b/>
          <w:bCs/>
          <w:color w:val="auto"/>
          <w:sz w:val="32"/>
          <w:szCs w:val="32"/>
        </w:rPr>
        <w:t>营商环境持续提升。</w:t>
      </w:r>
      <w:r>
        <w:rPr>
          <w:rFonts w:hint="default" w:ascii="Times New Roman" w:hAnsi="Times New Roman" w:eastAsia="仿宋_GB2312" w:cs="Times New Roman"/>
          <w:color w:val="auto"/>
          <w:sz w:val="32"/>
          <w:szCs w:val="32"/>
          <w:lang w:val="en-US" w:eastAsia="zh-CN"/>
        </w:rPr>
        <w:t>畅通银企合作渠道，</w:t>
      </w:r>
      <w:r>
        <w:rPr>
          <w:rFonts w:hint="default" w:ascii="Times New Roman" w:hAnsi="Times New Roman" w:eastAsia="仿宋_GB2312" w:cs="Times New Roman"/>
          <w:color w:val="auto"/>
          <w:sz w:val="32"/>
          <w:szCs w:val="32"/>
          <w:lang w:eastAsia="zh-CN"/>
        </w:rPr>
        <w:t>加大走访力度，引导市场主体注册淮北市综合金融服务平台，</w:t>
      </w:r>
      <w:r>
        <w:rPr>
          <w:rFonts w:hint="default" w:ascii="Times New Roman" w:hAnsi="Times New Roman" w:eastAsia="仿宋_GB2312" w:cs="Times New Roman"/>
          <w:color w:val="auto"/>
          <w:sz w:val="32"/>
          <w:szCs w:val="32"/>
          <w:highlight w:val="none"/>
          <w:lang w:val="en-US" w:eastAsia="zh-CN"/>
        </w:rPr>
        <w:t>556家（次）企业通过线上申请获得授信金额26.31亿元。充分发挥政府性融资担保机构作用</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盛典</w:t>
      </w:r>
      <w:r>
        <w:rPr>
          <w:rFonts w:hint="default" w:ascii="Times New Roman" w:hAnsi="Times New Roman" w:eastAsia="仿宋_GB2312" w:cs="Times New Roman"/>
          <w:color w:val="auto"/>
          <w:sz w:val="32"/>
          <w:szCs w:val="32"/>
          <w:highlight w:val="none"/>
        </w:rPr>
        <w:t>融资担保公司在保企业</w:t>
      </w:r>
      <w:r>
        <w:rPr>
          <w:rFonts w:hint="default" w:ascii="Times New Roman" w:hAnsi="Times New Roman" w:eastAsia="仿宋_GB2312" w:cs="Times New Roman"/>
          <w:color w:val="auto"/>
          <w:sz w:val="32"/>
          <w:szCs w:val="32"/>
          <w:highlight w:val="none"/>
          <w:lang w:val="en-US" w:eastAsia="zh-CN"/>
        </w:rPr>
        <w:t>1551</w:t>
      </w:r>
      <w:r>
        <w:rPr>
          <w:rFonts w:hint="default" w:ascii="Times New Roman" w:hAnsi="Times New Roman" w:eastAsia="仿宋_GB2312" w:cs="Times New Roman"/>
          <w:color w:val="auto"/>
          <w:sz w:val="32"/>
          <w:szCs w:val="32"/>
          <w:highlight w:val="none"/>
          <w:lang w:eastAsia="zh-CN"/>
        </w:rPr>
        <w:t>笔</w:t>
      </w:r>
      <w:r>
        <w:rPr>
          <w:rFonts w:hint="default" w:ascii="Times New Roman" w:hAnsi="Times New Roman" w:eastAsia="仿宋_GB2312" w:cs="Times New Roman"/>
          <w:color w:val="auto"/>
          <w:sz w:val="32"/>
          <w:szCs w:val="32"/>
          <w:highlight w:val="none"/>
        </w:rPr>
        <w:t>，在保余额</w:t>
      </w:r>
      <w:r>
        <w:rPr>
          <w:rFonts w:hint="default" w:ascii="Times New Roman" w:hAnsi="Times New Roman" w:eastAsia="仿宋_GB2312" w:cs="Times New Roman"/>
          <w:color w:val="auto"/>
          <w:sz w:val="32"/>
          <w:szCs w:val="32"/>
          <w:highlight w:val="none"/>
          <w:lang w:val="en-US" w:eastAsia="zh-CN"/>
        </w:rPr>
        <w:t>9.37</w:t>
      </w:r>
      <w:r>
        <w:rPr>
          <w:rFonts w:hint="default" w:ascii="Times New Roman" w:hAnsi="Times New Roman" w:eastAsia="仿宋_GB2312" w:cs="Times New Roman"/>
          <w:color w:val="auto"/>
          <w:sz w:val="32"/>
          <w:szCs w:val="32"/>
          <w:highlight w:val="none"/>
          <w:lang w:eastAsia="zh-CN"/>
        </w:rPr>
        <w:t>亿</w:t>
      </w:r>
      <w:r>
        <w:rPr>
          <w:rFonts w:hint="default" w:ascii="Times New Roman" w:hAnsi="Times New Roman" w:eastAsia="仿宋_GB2312" w:cs="Times New Roman"/>
          <w:color w:val="auto"/>
          <w:sz w:val="32"/>
          <w:szCs w:val="32"/>
          <w:highlight w:val="none"/>
        </w:rPr>
        <w:t>元，新型政银担业务新增</w:t>
      </w:r>
      <w:r>
        <w:rPr>
          <w:rFonts w:hint="default" w:ascii="Times New Roman" w:hAnsi="Times New Roman" w:eastAsia="仿宋_GB2312" w:cs="Times New Roman"/>
          <w:color w:val="auto"/>
          <w:sz w:val="32"/>
          <w:szCs w:val="32"/>
          <w:highlight w:val="none"/>
          <w:lang w:val="en-US" w:eastAsia="zh-CN"/>
        </w:rPr>
        <w:t>1492笔</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eastAsia="zh-CN"/>
        </w:rPr>
        <w:t>金额</w:t>
      </w:r>
      <w:r>
        <w:rPr>
          <w:rFonts w:hint="default" w:ascii="Times New Roman" w:hAnsi="Times New Roman" w:eastAsia="仿宋_GB2312" w:cs="Times New Roman"/>
          <w:color w:val="auto"/>
          <w:sz w:val="32"/>
          <w:szCs w:val="32"/>
          <w:highlight w:val="none"/>
          <w:lang w:val="en-US" w:eastAsia="zh-CN"/>
        </w:rPr>
        <w:t>6.7亿</w:t>
      </w:r>
      <w:r>
        <w:rPr>
          <w:rFonts w:hint="default" w:ascii="Times New Roman" w:hAnsi="Times New Roman" w:eastAsia="仿宋_GB2312" w:cs="Times New Roman"/>
          <w:color w:val="auto"/>
          <w:sz w:val="32"/>
          <w:szCs w:val="32"/>
          <w:highlight w:val="none"/>
        </w:rPr>
        <w:t>元</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lang w:val="en-US" w:eastAsia="zh-CN"/>
        </w:rPr>
        <w:t>持续开展“人才贷”“园区贷”“科技贷”“商会贷”等新型贷款业务，发放3630万元信用贷款。积极推进企业上市挂牌工作，开展资本市场等政策宣传。</w:t>
      </w:r>
      <w:r>
        <w:rPr>
          <w:rFonts w:hint="default" w:ascii="Times New Roman" w:hAnsi="Times New Roman" w:eastAsia="仿宋_GB2312" w:cs="Times New Roman"/>
          <w:color w:val="auto"/>
          <w:sz w:val="32"/>
          <w:szCs w:val="32"/>
          <w:lang w:eastAsia="zh-CN"/>
        </w:rPr>
        <w:t>重点推进金岩高岭土北交所上市工作，已完成企业备案、辅导各项工作</w:t>
      </w:r>
      <w:r>
        <w:rPr>
          <w:rFonts w:hint="default" w:ascii="Times New Roman" w:hAnsi="Times New Roman" w:eastAsia="仿宋_GB2312" w:cs="Times New Roman"/>
          <w:color w:val="auto"/>
          <w:sz w:val="32"/>
          <w:szCs w:val="32"/>
          <w:lang w:val="en-US" w:eastAsia="zh-CN"/>
        </w:rPr>
        <w:t>。同时已完成7家企业四版挂牌，其中股改企业1家。</w:t>
      </w:r>
    </w:p>
    <w:p w14:paraId="589E7FD5">
      <w:pPr>
        <w:keepNext w:val="0"/>
        <w:keepLines w:val="0"/>
        <w:pageBreakBefore w:val="0"/>
        <w:widowControl w:val="0"/>
        <w:kinsoku/>
        <w:wordWrap/>
        <w:overflowPunct/>
        <w:topLinePunct w:val="0"/>
        <w:autoSpaceDE/>
        <w:autoSpaceDN/>
        <w:bidi w:val="0"/>
        <w:adjustRightInd/>
        <w:snapToGrid/>
        <w:spacing w:line="576" w:lineRule="exact"/>
        <w:ind w:left="0"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color w:val="auto"/>
          <w:sz w:val="32"/>
          <w:szCs w:val="32"/>
          <w:shd w:val="clear" w:color="auto" w:fill="FFFFFF"/>
        </w:rPr>
        <w:t>（</w:t>
      </w:r>
      <w:r>
        <w:rPr>
          <w:rFonts w:hint="eastAsia" w:ascii="Times New Roman" w:hAnsi="Times New Roman" w:eastAsia="楷体_GB2312" w:cs="Times New Roman"/>
          <w:b/>
          <w:color w:val="auto"/>
          <w:sz w:val="32"/>
          <w:szCs w:val="32"/>
          <w:shd w:val="clear" w:color="auto" w:fill="FFFFFF"/>
          <w:lang w:eastAsia="zh-CN"/>
        </w:rPr>
        <w:t>六</w:t>
      </w:r>
      <w:r>
        <w:rPr>
          <w:rFonts w:hint="default" w:ascii="Times New Roman" w:hAnsi="Times New Roman" w:eastAsia="楷体_GB2312" w:cs="Times New Roman"/>
          <w:b/>
          <w:color w:val="auto"/>
          <w:sz w:val="32"/>
          <w:szCs w:val="32"/>
          <w:shd w:val="clear" w:color="auto" w:fill="FFFFFF"/>
        </w:rPr>
        <w:t>）国资国企高效运行。</w:t>
      </w:r>
      <w:r>
        <w:rPr>
          <w:rFonts w:hint="default" w:ascii="Times New Roman" w:hAnsi="Times New Roman" w:eastAsia="仿宋_GB2312" w:cs="Times New Roman"/>
          <w:b w:val="0"/>
          <w:bCs/>
          <w:color w:val="auto"/>
          <w:sz w:val="32"/>
          <w:szCs w:val="32"/>
          <w:highlight w:val="none"/>
          <w:shd w:val="clear" w:color="auto" w:fill="FFFFFF"/>
          <w:lang w:val="en-US" w:eastAsia="zh-CN"/>
        </w:rPr>
        <w:t>高度重视</w:t>
      </w:r>
      <w:r>
        <w:rPr>
          <w:rFonts w:hint="eastAsia" w:ascii="Times New Roman" w:hAnsi="Times New Roman" w:eastAsia="仿宋_GB2312" w:cs="Times New Roman"/>
          <w:b w:val="0"/>
          <w:bCs/>
          <w:color w:val="auto"/>
          <w:sz w:val="32"/>
          <w:szCs w:val="32"/>
          <w:highlight w:val="none"/>
          <w:shd w:val="clear" w:color="auto" w:fill="FFFFFF"/>
          <w:lang w:val="en-US" w:eastAsia="zh-CN"/>
        </w:rPr>
        <w:t>国企高管人员培养和引进，2024年2月圆满完成天汇建投高管公开面向全省的招聘工作</w:t>
      </w:r>
      <w:r>
        <w:rPr>
          <w:rFonts w:hint="default" w:ascii="Times New Roman" w:hAnsi="Times New Roman" w:eastAsia="仿宋_GB2312" w:cs="Times New Roman"/>
          <w:b w:val="0"/>
          <w:bCs/>
          <w:color w:val="auto"/>
          <w:sz w:val="32"/>
          <w:szCs w:val="32"/>
          <w:highlight w:val="none"/>
          <w:shd w:val="clear" w:color="auto" w:fill="FFFFFF"/>
          <w:lang w:val="en-US" w:eastAsia="zh-CN"/>
        </w:rPr>
        <w:t>。切实加强对国有企业监管与指导，截至6月底，东昱建投集团公司（天汇建投有限公司）总资产215亿元，同比增长7.45%；所有者权益129亿元，同比增长3.32%；资产负债率40%。2024年1-6月营业收入6.5亿元，同比增长7.9%；利润总额0.7亿元，同比增长11.1%，有力地促进国有资产保值增值。</w:t>
      </w:r>
    </w:p>
    <w:p w14:paraId="058440DC">
      <w:pPr>
        <w:keepNext w:val="0"/>
        <w:keepLines w:val="0"/>
        <w:pageBreakBefore w:val="0"/>
        <w:kinsoku/>
        <w:wordWrap/>
        <w:overflowPunct/>
        <w:topLinePunct w:val="0"/>
        <w:autoSpaceDE/>
        <w:autoSpaceDN/>
        <w:bidi w:val="0"/>
        <w:adjustRightInd/>
        <w:spacing w:line="576" w:lineRule="exact"/>
        <w:ind w:left="0"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b/>
          <w:bCs/>
          <w:color w:val="auto"/>
          <w:sz w:val="32"/>
          <w:szCs w:val="32"/>
          <w:highlight w:val="none"/>
        </w:rPr>
        <w:t>（</w:t>
      </w:r>
      <w:r>
        <w:rPr>
          <w:rFonts w:hint="eastAsia" w:ascii="Times New Roman" w:hAnsi="Times New Roman" w:eastAsia="楷体_GB2312" w:cs="Times New Roman"/>
          <w:b/>
          <w:bCs/>
          <w:color w:val="auto"/>
          <w:sz w:val="32"/>
          <w:szCs w:val="32"/>
          <w:highlight w:val="none"/>
          <w:lang w:eastAsia="zh-CN"/>
        </w:rPr>
        <w:t>七</w:t>
      </w:r>
      <w:r>
        <w:rPr>
          <w:rFonts w:hint="default" w:ascii="Times New Roman" w:hAnsi="Times New Roman" w:eastAsia="楷体_GB2312" w:cs="Times New Roman"/>
          <w:b/>
          <w:bCs/>
          <w:color w:val="auto"/>
          <w:sz w:val="32"/>
          <w:szCs w:val="32"/>
          <w:highlight w:val="none"/>
        </w:rPr>
        <w:t>）惠民政策落地见效。</w:t>
      </w:r>
      <w:r>
        <w:rPr>
          <w:rFonts w:hint="default" w:ascii="Times New Roman" w:hAnsi="Times New Roman" w:eastAsia="仿宋_GB2312" w:cs="Times New Roman"/>
          <w:color w:val="auto"/>
          <w:sz w:val="32"/>
          <w:szCs w:val="32"/>
          <w:highlight w:val="none"/>
          <w:lang w:val="en-US" w:eastAsia="zh-CN"/>
        </w:rPr>
        <w:t>全区共通过惠农补贴“一卡通”平台发放4262.96万元，惠及2.91万农户。投入财政奖补资金462.76万元计划实施14个农村公益事业项目，</w:t>
      </w:r>
      <w:r>
        <w:rPr>
          <w:rFonts w:hint="default" w:ascii="Times New Roman" w:hAnsi="Times New Roman" w:eastAsia="仿宋_GB2312" w:cs="Times New Roman"/>
          <w:color w:val="auto"/>
          <w:sz w:val="32"/>
          <w:szCs w:val="32"/>
          <w:highlight w:val="none"/>
        </w:rPr>
        <w:t>改善农村基础设施和人居生活环境。</w:t>
      </w:r>
      <w:r>
        <w:rPr>
          <w:rFonts w:hint="default" w:ascii="Times New Roman" w:hAnsi="Times New Roman" w:eastAsia="仿宋_GB2312" w:cs="Times New Roman"/>
          <w:color w:val="auto"/>
          <w:sz w:val="32"/>
          <w:szCs w:val="32"/>
          <w:highlight w:val="none"/>
          <w:lang w:val="en-US" w:eastAsia="zh-CN"/>
        </w:rPr>
        <w:t>积极推进“劝耕贷”工作，上半年累计发放659万元。着力推进政策性农业保险，上半年累计承保214.13万元，理赔43.82万元；为村集体经济组织设施财产投保3500万元。</w:t>
      </w:r>
    </w:p>
    <w:p w14:paraId="0E792EC7">
      <w:pPr>
        <w:keepNext w:val="0"/>
        <w:keepLines w:val="0"/>
        <w:pageBreakBefore w:val="0"/>
        <w:kinsoku/>
        <w:wordWrap/>
        <w:overflowPunct/>
        <w:topLinePunct w:val="0"/>
        <w:autoSpaceDE/>
        <w:autoSpaceDN/>
        <w:bidi w:val="0"/>
        <w:adjustRightInd/>
        <w:spacing w:line="576" w:lineRule="exact"/>
        <w:ind w:left="0" w:firstLine="640" w:firstLineChars="200"/>
        <w:jc w:val="both"/>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三、面临的困难和问题</w:t>
      </w:r>
    </w:p>
    <w:p w14:paraId="36E42E5B">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576" w:lineRule="exact"/>
        <w:ind w:left="0"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bCs/>
          <w:color w:val="auto"/>
          <w:sz w:val="32"/>
          <w:szCs w:val="32"/>
        </w:rPr>
        <w:t>一是收支矛盾持续加大。</w:t>
      </w:r>
      <w:r>
        <w:rPr>
          <w:rFonts w:hint="default" w:ascii="Times New Roman" w:hAnsi="Times New Roman" w:eastAsia="仿宋_GB2312" w:cs="Times New Roman"/>
          <w:color w:val="auto"/>
          <w:sz w:val="32"/>
          <w:szCs w:val="32"/>
          <w:highlight w:val="none"/>
          <w:lang w:val="en-US" w:eastAsia="zh-CN"/>
        </w:rPr>
        <w:t>“三保”支出压力大。2024年1-6月份，全区一般公共预算收入仅完成4.05亿元，主导产业税收降幅明显，“三保”支出压力很大。</w:t>
      </w:r>
      <w:r>
        <w:rPr>
          <w:rFonts w:hint="default" w:ascii="Times New Roman" w:hAnsi="Times New Roman" w:eastAsia="仿宋_GB2312" w:cs="Times New Roman"/>
          <w:color w:val="auto"/>
          <w:sz w:val="32"/>
          <w:szCs w:val="32"/>
        </w:rPr>
        <w:t>一方面受经济下行及有效需求的影响，财政增收压力大，不能形成超收财力保障新增支出；另一方面不断规范盘活存量及统筹结余结转资金，可统筹财政资金资源空间日益减少。此外债券还本付息规模不断增长，收支矛盾更加</w:t>
      </w:r>
      <w:r>
        <w:rPr>
          <w:rFonts w:hint="default" w:ascii="Times New Roman" w:hAnsi="Times New Roman" w:eastAsia="仿宋_GB2312" w:cs="Times New Roman"/>
          <w:color w:val="auto"/>
          <w:sz w:val="32"/>
          <w:szCs w:val="32"/>
          <w:lang w:eastAsia="zh-CN"/>
        </w:rPr>
        <w:t>突出</w:t>
      </w:r>
      <w:r>
        <w:rPr>
          <w:rFonts w:hint="default" w:ascii="Times New Roman" w:hAnsi="Times New Roman" w:eastAsia="仿宋_GB2312" w:cs="Times New Roman"/>
          <w:color w:val="auto"/>
          <w:sz w:val="32"/>
          <w:szCs w:val="32"/>
        </w:rPr>
        <w:t>。</w:t>
      </w:r>
    </w:p>
    <w:p w14:paraId="5F40AF33">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bCs/>
          <w:color w:val="auto"/>
          <w:sz w:val="32"/>
          <w:szCs w:val="32"/>
        </w:rPr>
        <w:t>二是</w:t>
      </w:r>
      <w:r>
        <w:rPr>
          <w:rFonts w:hint="default" w:ascii="Times New Roman" w:hAnsi="Times New Roman" w:eastAsia="楷体_GB2312" w:cs="Times New Roman"/>
          <w:b/>
          <w:bCs/>
          <w:color w:val="auto"/>
          <w:sz w:val="32"/>
          <w:szCs w:val="32"/>
          <w:highlight w:val="none"/>
          <w:lang w:val="en-US" w:eastAsia="zh-CN"/>
        </w:rPr>
        <w:t>主导产业税收降幅明显。</w:t>
      </w:r>
      <w:r>
        <w:rPr>
          <w:rFonts w:hint="default" w:ascii="Times New Roman" w:hAnsi="Times New Roman" w:eastAsia="仿宋_GB2312" w:cs="Times New Roman"/>
          <w:color w:val="auto"/>
          <w:kern w:val="2"/>
          <w:sz w:val="32"/>
          <w:szCs w:val="32"/>
          <w:lang w:val="en-US" w:eastAsia="zh-CN" w:bidi="ar-SA"/>
        </w:rPr>
        <w:t>受当前</w:t>
      </w:r>
      <w:r>
        <w:rPr>
          <w:rFonts w:hint="default" w:ascii="Times New Roman" w:hAnsi="Times New Roman" w:eastAsia="仿宋_GB2312" w:cs="Times New Roman"/>
          <w:color w:val="auto"/>
          <w:kern w:val="2"/>
          <w:sz w:val="32"/>
          <w:szCs w:val="32"/>
          <w:highlight w:val="none"/>
          <w:lang w:val="en-US" w:eastAsia="zh-CN" w:bidi="ar-SA"/>
        </w:rPr>
        <w:t>大环境影响，水泥市场行情持续低迷，利润大幅减少，税收下滑严重。众城相山水泥今年一季度缴纳税收581.45万元，去年同期缴纳2334.38万元，同比降幅75.13%。</w:t>
      </w:r>
      <w:r>
        <w:rPr>
          <w:rFonts w:hint="default" w:ascii="Times New Roman" w:hAnsi="Times New Roman" w:eastAsia="仿宋_GB2312" w:cs="Times New Roman"/>
          <w:b w:val="0"/>
          <w:bCs w:val="0"/>
          <w:color w:val="auto"/>
          <w:kern w:val="2"/>
          <w:sz w:val="32"/>
          <w:szCs w:val="32"/>
          <w:highlight w:val="none"/>
          <w:lang w:val="en-US" w:eastAsia="zh-CN" w:bidi="ar-SA"/>
        </w:rPr>
        <w:t>双龙矿业2023年税收收入完成</w:t>
      </w:r>
      <w:r>
        <w:rPr>
          <w:rFonts w:hint="default" w:ascii="Times New Roman" w:hAnsi="Times New Roman" w:eastAsia="仿宋_GB2312" w:cs="Times New Roman"/>
          <w:b w:val="0"/>
          <w:bCs w:val="0"/>
          <w:color w:val="auto"/>
          <w:kern w:val="2"/>
          <w:sz w:val="32"/>
          <w:szCs w:val="32"/>
          <w:lang w:val="en-US" w:eastAsia="zh-CN" w:bidi="ar-SA"/>
        </w:rPr>
        <w:t>2438.07万元，今年一季度仅完成932.69万元，并于3月份关井闭坑，预计今年煤炭行业税收收入至少减少1500万元，杜集彻底告别“煤时代”。机械制造业和商贸服务业税收收入</w:t>
      </w:r>
      <w:r>
        <w:rPr>
          <w:rFonts w:hint="eastAsia" w:ascii="Times New Roman" w:hAnsi="Times New Roman" w:eastAsia="仿宋_GB2312" w:cs="Times New Roman"/>
          <w:b w:val="0"/>
          <w:bCs w:val="0"/>
          <w:color w:val="auto"/>
          <w:kern w:val="2"/>
          <w:sz w:val="32"/>
          <w:szCs w:val="32"/>
          <w:lang w:val="en-US" w:eastAsia="zh-CN" w:bidi="ar-SA"/>
        </w:rPr>
        <w:t>均有所下降</w:t>
      </w:r>
      <w:r>
        <w:rPr>
          <w:rFonts w:hint="default"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color w:val="auto"/>
          <w:sz w:val="32"/>
          <w:szCs w:val="32"/>
        </w:rPr>
        <w:t xml:space="preserve">      </w:t>
      </w:r>
    </w:p>
    <w:p w14:paraId="235519BC">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pacing w:line="576" w:lineRule="exact"/>
        <w:ind w:left="0" w:firstLine="643" w:firstLineChars="200"/>
        <w:jc w:val="both"/>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楷体_GB2312" w:cs="Times New Roman"/>
          <w:b/>
          <w:bCs/>
          <w:color w:val="auto"/>
          <w:sz w:val="32"/>
          <w:szCs w:val="32"/>
        </w:rPr>
        <w:t>三是</w:t>
      </w:r>
      <w:r>
        <w:rPr>
          <w:rFonts w:hint="default" w:ascii="Times New Roman" w:hAnsi="Times New Roman" w:eastAsia="楷体_GB2312" w:cs="Times New Roman"/>
          <w:b/>
          <w:bCs/>
          <w:color w:val="auto"/>
          <w:sz w:val="32"/>
          <w:szCs w:val="32"/>
          <w:lang w:eastAsia="zh-CN"/>
        </w:rPr>
        <w:t>积极争取资金力度不够。</w:t>
      </w:r>
      <w:r>
        <w:rPr>
          <w:rFonts w:hint="default" w:ascii="Times New Roman" w:hAnsi="Times New Roman" w:eastAsia="仿宋_GB2312" w:cs="Times New Roman"/>
          <w:b w:val="0"/>
          <w:bCs w:val="0"/>
          <w:color w:val="auto"/>
          <w:sz w:val="32"/>
          <w:szCs w:val="32"/>
          <w:lang w:val="en-US" w:eastAsia="zh-CN"/>
        </w:rPr>
        <w:t>鉴于目前财力状况，我区发展靠自有财力难以满足，各预算单位对上争取资金</w:t>
      </w:r>
      <w:r>
        <w:rPr>
          <w:rFonts w:hint="eastAsia" w:ascii="Times New Roman" w:hAnsi="Times New Roman" w:eastAsia="仿宋_GB2312" w:cs="Times New Roman"/>
          <w:b w:val="0"/>
          <w:bCs w:val="0"/>
          <w:color w:val="auto"/>
          <w:sz w:val="32"/>
          <w:szCs w:val="32"/>
          <w:lang w:val="en-US" w:eastAsia="zh-CN"/>
        </w:rPr>
        <w:t>主动性不强</w:t>
      </w:r>
      <w:r>
        <w:rPr>
          <w:rFonts w:hint="default" w:ascii="Times New Roman" w:hAnsi="Times New Roman" w:eastAsia="仿宋_GB2312" w:cs="Times New Roman"/>
          <w:b w:val="0"/>
          <w:bCs w:val="0"/>
          <w:color w:val="auto"/>
          <w:sz w:val="32"/>
          <w:szCs w:val="32"/>
          <w:lang w:val="en-US" w:eastAsia="zh-CN"/>
        </w:rPr>
        <w:t>，特别是申请中央预算内资金和超长期特别国债。近</w:t>
      </w:r>
      <w:r>
        <w:rPr>
          <w:rFonts w:hint="eastAsia" w:ascii="Times New Roman" w:hAnsi="Times New Roman" w:eastAsia="仿宋_GB2312" w:cs="Times New Roman"/>
          <w:b w:val="0"/>
          <w:bCs w:val="0"/>
          <w:color w:val="auto"/>
          <w:sz w:val="32"/>
          <w:szCs w:val="32"/>
          <w:lang w:val="en-US" w:eastAsia="zh-CN"/>
        </w:rPr>
        <w:t>三年以来，</w:t>
      </w:r>
      <w:r>
        <w:rPr>
          <w:rFonts w:hint="default" w:ascii="Times New Roman" w:hAnsi="Times New Roman" w:eastAsia="仿宋_GB2312" w:cs="Times New Roman"/>
          <w:b w:val="0"/>
          <w:bCs w:val="0"/>
          <w:color w:val="auto"/>
          <w:sz w:val="32"/>
          <w:szCs w:val="32"/>
          <w:lang w:val="en-US" w:eastAsia="zh-CN"/>
        </w:rPr>
        <w:t>中央预算内资金</w:t>
      </w:r>
      <w:r>
        <w:rPr>
          <w:rFonts w:hint="eastAsia" w:ascii="Times New Roman" w:hAnsi="Times New Roman" w:eastAsia="仿宋_GB2312" w:cs="Times New Roman"/>
          <w:b w:val="0"/>
          <w:bCs w:val="0"/>
          <w:color w:val="auto"/>
          <w:sz w:val="32"/>
          <w:szCs w:val="32"/>
          <w:lang w:val="en-US" w:eastAsia="zh-CN"/>
        </w:rPr>
        <w:t>每年争取的</w:t>
      </w:r>
      <w:r>
        <w:rPr>
          <w:rFonts w:hint="default" w:ascii="Times New Roman" w:hAnsi="Times New Roman" w:eastAsia="仿宋_GB2312" w:cs="Times New Roman"/>
          <w:b w:val="0"/>
          <w:bCs w:val="0"/>
          <w:color w:val="auto"/>
          <w:sz w:val="32"/>
          <w:szCs w:val="32"/>
          <w:lang w:val="en-US" w:eastAsia="zh-CN"/>
        </w:rPr>
        <w:t>额度为8000万元，今年上半年暂无进展；超长期特别国债2024年发行1万亿元，我区2024年资金需求仅申报3.03亿元，无法满足我区</w:t>
      </w:r>
      <w:r>
        <w:rPr>
          <w:rFonts w:hint="eastAsia" w:ascii="Times New Roman" w:hAnsi="Times New Roman" w:eastAsia="仿宋_GB2312" w:cs="Times New Roman"/>
          <w:b w:val="0"/>
          <w:bCs w:val="0"/>
          <w:color w:val="auto"/>
          <w:sz w:val="32"/>
          <w:szCs w:val="32"/>
          <w:lang w:val="en-US" w:eastAsia="zh-CN"/>
        </w:rPr>
        <w:t>高质量</w:t>
      </w:r>
      <w:r>
        <w:rPr>
          <w:rFonts w:hint="default" w:ascii="Times New Roman" w:hAnsi="Times New Roman" w:eastAsia="仿宋_GB2312" w:cs="Times New Roman"/>
          <w:b w:val="0"/>
          <w:bCs w:val="0"/>
          <w:color w:val="auto"/>
          <w:sz w:val="32"/>
          <w:szCs w:val="32"/>
          <w:lang w:val="en-US" w:eastAsia="zh-CN"/>
        </w:rPr>
        <w:t>发展需求。</w:t>
      </w:r>
    </w:p>
    <w:p w14:paraId="6F6A9BAF">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pacing w:line="576" w:lineRule="exact"/>
        <w:ind w:left="0" w:firstLine="640" w:firstLineChars="200"/>
        <w:jc w:val="both"/>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四、下一步工作重点</w:t>
      </w:r>
    </w:p>
    <w:p w14:paraId="68959629">
      <w:pPr>
        <w:keepNext w:val="0"/>
        <w:keepLines w:val="0"/>
        <w:pageBreakBefore w:val="0"/>
        <w:kinsoku/>
        <w:wordWrap/>
        <w:overflowPunct/>
        <w:topLinePunct w:val="0"/>
        <w:autoSpaceDE/>
        <w:autoSpaceDN/>
        <w:bidi w:val="0"/>
        <w:adjustRightInd/>
        <w:spacing w:line="576" w:lineRule="exact"/>
        <w:ind w:left="0"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下一步，我们将在区委的坚强领导下，在区人大及其常委会的监督支持下，</w:t>
      </w:r>
      <w:r>
        <w:rPr>
          <w:rFonts w:hint="eastAsia" w:ascii="Times New Roman" w:hAnsi="Times New Roman" w:eastAsia="仿宋_GB2312" w:cs="Times New Roman"/>
          <w:color w:val="auto"/>
          <w:sz w:val="32"/>
          <w:szCs w:val="32"/>
          <w:lang w:eastAsia="zh-CN"/>
        </w:rPr>
        <w:t>认真学习贯彻习近平新时代中国特色社会主义思想，</w:t>
      </w:r>
      <w:r>
        <w:rPr>
          <w:rFonts w:hint="default" w:ascii="Times New Roman" w:hAnsi="Times New Roman" w:eastAsia="仿宋_GB2312" w:cs="Times New Roman"/>
          <w:color w:val="auto"/>
          <w:sz w:val="32"/>
          <w:szCs w:val="32"/>
        </w:rPr>
        <w:t>全面贯彻</w:t>
      </w:r>
      <w:r>
        <w:rPr>
          <w:rFonts w:hint="eastAsia" w:ascii="Times New Roman" w:hAnsi="Times New Roman" w:eastAsia="仿宋_GB2312" w:cs="Times New Roman"/>
          <w:color w:val="auto"/>
          <w:sz w:val="32"/>
          <w:szCs w:val="32"/>
          <w:lang w:eastAsia="zh-CN"/>
        </w:rPr>
        <w:t>落实党的二十大和</w:t>
      </w:r>
      <w:r>
        <w:rPr>
          <w:rFonts w:hint="default" w:ascii="Times New Roman" w:hAnsi="Times New Roman" w:eastAsia="仿宋_GB2312" w:cs="Times New Roman"/>
          <w:color w:val="auto"/>
          <w:sz w:val="32"/>
          <w:szCs w:val="32"/>
        </w:rPr>
        <w:t>二十</w:t>
      </w:r>
      <w:r>
        <w:rPr>
          <w:rFonts w:hint="eastAsia" w:ascii="Times New Roman" w:hAnsi="Times New Roman" w:eastAsia="仿宋_GB2312" w:cs="Times New Roman"/>
          <w:color w:val="auto"/>
          <w:sz w:val="32"/>
          <w:szCs w:val="32"/>
          <w:lang w:eastAsia="zh-CN"/>
        </w:rPr>
        <w:t>届二中、三中全会</w:t>
      </w:r>
      <w:r>
        <w:rPr>
          <w:rFonts w:hint="default" w:ascii="Times New Roman" w:hAnsi="Times New Roman" w:eastAsia="仿宋_GB2312" w:cs="Times New Roman"/>
          <w:color w:val="auto"/>
          <w:sz w:val="32"/>
          <w:szCs w:val="32"/>
        </w:rPr>
        <w:t>精神，认真落实中央、省市经济工作会议精神，严格执行区人大批准的预算，坚持稳字当头、稳中求进，实施好积极的财政政策，着力推动经济运行整体好转，推动财政改革发展行稳致远。重点做好以下工作：</w:t>
      </w:r>
      <w:bookmarkStart w:id="0" w:name="_GoBack"/>
      <w:bookmarkEnd w:id="0"/>
    </w:p>
    <w:p w14:paraId="03E3F572">
      <w:pPr>
        <w:keepNext w:val="0"/>
        <w:keepLines w:val="0"/>
        <w:pageBreakBefore w:val="0"/>
        <w:widowControl w:val="0"/>
        <w:numPr>
          <w:ilvl w:val="0"/>
          <w:numId w:val="2"/>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576" w:lineRule="exact"/>
        <w:ind w:left="0"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bCs/>
          <w:color w:val="auto"/>
          <w:kern w:val="0"/>
          <w:sz w:val="32"/>
          <w:szCs w:val="32"/>
        </w:rPr>
        <w:t>严收支，</w:t>
      </w:r>
      <w:r>
        <w:rPr>
          <w:rFonts w:hint="default" w:ascii="Times New Roman" w:hAnsi="Times New Roman" w:eastAsia="楷体_GB2312" w:cs="Times New Roman"/>
          <w:b/>
          <w:color w:val="auto"/>
          <w:sz w:val="32"/>
          <w:szCs w:val="32"/>
        </w:rPr>
        <w:t>增强</w:t>
      </w:r>
      <w:r>
        <w:rPr>
          <w:rFonts w:hint="default" w:ascii="Times New Roman" w:hAnsi="Times New Roman" w:eastAsia="楷体_GB2312" w:cs="Times New Roman"/>
          <w:b/>
          <w:color w:val="auto"/>
          <w:sz w:val="32"/>
          <w:szCs w:val="32"/>
          <w:lang w:eastAsia="zh-CN"/>
        </w:rPr>
        <w:t>统筹</w:t>
      </w:r>
      <w:r>
        <w:rPr>
          <w:rFonts w:hint="default" w:ascii="Times New Roman" w:hAnsi="Times New Roman" w:eastAsia="楷体_GB2312" w:cs="Times New Roman"/>
          <w:b/>
          <w:color w:val="auto"/>
          <w:sz w:val="32"/>
          <w:szCs w:val="32"/>
        </w:rPr>
        <w:t>保障。</w:t>
      </w:r>
      <w:r>
        <w:rPr>
          <w:rFonts w:hint="default" w:ascii="Times New Roman" w:hAnsi="Times New Roman" w:eastAsia="仿宋_GB2312" w:cs="Times New Roman"/>
          <w:b w:val="0"/>
          <w:bCs w:val="0"/>
          <w:color w:val="auto"/>
          <w:sz w:val="32"/>
          <w:szCs w:val="32"/>
          <w:lang w:val="en-US" w:eastAsia="zh-CN"/>
        </w:rPr>
        <w:t>加大税收征管力度，推进税源摸排，加快综合</w:t>
      </w:r>
      <w:r>
        <w:rPr>
          <w:rFonts w:hint="eastAsia" w:ascii="Times New Roman" w:hAnsi="Times New Roman" w:eastAsia="仿宋_GB2312" w:cs="Times New Roman"/>
          <w:b w:val="0"/>
          <w:bCs w:val="0"/>
          <w:color w:val="auto"/>
          <w:sz w:val="32"/>
          <w:szCs w:val="32"/>
          <w:lang w:val="en-US" w:eastAsia="zh-CN"/>
        </w:rPr>
        <w:t>治税</w:t>
      </w:r>
      <w:r>
        <w:rPr>
          <w:rFonts w:hint="default" w:ascii="Times New Roman" w:hAnsi="Times New Roman" w:eastAsia="仿宋_GB2312" w:cs="Times New Roman"/>
          <w:b w:val="0"/>
          <w:bCs w:val="0"/>
          <w:color w:val="auto"/>
          <w:sz w:val="32"/>
          <w:szCs w:val="32"/>
          <w:lang w:val="en-US" w:eastAsia="zh-CN"/>
        </w:rPr>
        <w:t>平台建设和税收清欠力度，确保应收尽收。加大招商引资力度，积极培育新税源。加大土地出让力度，增加区级可用财力。严格落实党政机关习惯过紧日子，大</w:t>
      </w:r>
      <w:r>
        <w:rPr>
          <w:rFonts w:hint="default" w:ascii="Times New Roman" w:hAnsi="Times New Roman" w:eastAsia="仿宋_GB2312" w:cs="Times New Roman"/>
          <w:color w:val="auto"/>
          <w:sz w:val="32"/>
          <w:szCs w:val="32"/>
        </w:rPr>
        <w:t>力压减一般性支出，从严控制“三公”经费，严把预算支出关口，对非重点、非刚性支出应压尽压，以紧日子应对紧平衡。积极调整优化支出结构，加强财政资源统筹，加大对重点项目和重点领域的财力保障。</w:t>
      </w:r>
    </w:p>
    <w:p w14:paraId="69AA621D">
      <w:pPr>
        <w:keepNext w:val="0"/>
        <w:keepLines w:val="0"/>
        <w:pageBreakBefore w:val="0"/>
        <w:widowControl w:val="0"/>
        <w:numPr>
          <w:ilvl w:val="0"/>
          <w:numId w:val="2"/>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576" w:lineRule="exact"/>
        <w:ind w:left="0" w:firstLine="643" w:firstLineChars="200"/>
        <w:jc w:val="both"/>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楷体_GB2312" w:cs="Times New Roman"/>
          <w:b/>
          <w:color w:val="auto"/>
          <w:sz w:val="32"/>
          <w:szCs w:val="32"/>
        </w:rPr>
        <w:t>谋项目，</w:t>
      </w:r>
      <w:r>
        <w:rPr>
          <w:rFonts w:hint="default" w:ascii="Times New Roman" w:hAnsi="Times New Roman" w:eastAsia="楷体_GB2312" w:cs="Times New Roman"/>
          <w:b/>
          <w:color w:val="auto"/>
          <w:sz w:val="32"/>
          <w:szCs w:val="32"/>
          <w:lang w:eastAsia="zh-CN"/>
        </w:rPr>
        <w:t>增加可用财力</w:t>
      </w:r>
      <w:r>
        <w:rPr>
          <w:rFonts w:hint="default" w:ascii="Times New Roman" w:hAnsi="Times New Roman" w:eastAsia="楷体_GB2312" w:cs="Times New Roman"/>
          <w:b/>
          <w:color w:val="auto"/>
          <w:sz w:val="32"/>
          <w:szCs w:val="32"/>
        </w:rPr>
        <w:t>。</w:t>
      </w:r>
      <w:r>
        <w:rPr>
          <w:rFonts w:hint="default" w:ascii="Times New Roman" w:hAnsi="Times New Roman" w:eastAsia="仿宋_GB2312" w:cs="Times New Roman"/>
          <w:b w:val="0"/>
          <w:bCs/>
          <w:color w:val="auto"/>
          <w:sz w:val="32"/>
          <w:szCs w:val="32"/>
          <w:lang w:eastAsia="zh-CN"/>
        </w:rPr>
        <w:t>一是加大中央预算内资金申报，推进我区保障性安居工程基础设施建设及资源型地区转型发展；二是加大超长期特别国债申请，目前我区</w:t>
      </w:r>
      <w:r>
        <w:rPr>
          <w:rFonts w:hint="default" w:ascii="Times New Roman" w:hAnsi="Times New Roman" w:eastAsia="仿宋_GB2312" w:cs="Times New Roman"/>
          <w:b w:val="0"/>
          <w:bCs w:val="0"/>
          <w:color w:val="auto"/>
          <w:sz w:val="32"/>
          <w:szCs w:val="32"/>
          <w:lang w:val="en-US" w:eastAsia="zh-CN"/>
        </w:rPr>
        <w:t>申报项目6个，涉及五个领域，总投资12.6亿元</w:t>
      </w:r>
      <w:r>
        <w:rPr>
          <w:rFonts w:hint="default" w:ascii="Times New Roman" w:hAnsi="Times New Roman" w:eastAsia="仿宋_GB2312" w:cs="Times New Roman"/>
          <w:b w:val="0"/>
          <w:bCs/>
          <w:color w:val="auto"/>
          <w:sz w:val="32"/>
          <w:szCs w:val="32"/>
          <w:lang w:val="en-US" w:eastAsia="zh-CN"/>
        </w:rPr>
        <w:t>；三是科学谋划专项债项目，抓紧抓实基础工作，提高项目合规性、成熟度，确保更多项目达到发行条件；四是加大上级转移支付争取力度，</w:t>
      </w:r>
      <w:r>
        <w:rPr>
          <w:rFonts w:hint="default" w:ascii="Times New Roman" w:hAnsi="Times New Roman" w:eastAsia="仿宋_GB2312" w:cs="Times New Roman"/>
          <w:b w:val="0"/>
          <w:bCs w:val="0"/>
          <w:color w:val="auto"/>
          <w:sz w:val="32"/>
          <w:szCs w:val="32"/>
          <w:highlight w:val="none"/>
          <w:lang w:val="en-US" w:eastAsia="zh-CN"/>
        </w:rPr>
        <w:t>争取</w:t>
      </w:r>
      <w:r>
        <w:rPr>
          <w:rFonts w:hint="default" w:ascii="Times New Roman" w:hAnsi="Times New Roman" w:eastAsia="仿宋_GB2312" w:cs="Times New Roman"/>
          <w:b w:val="0"/>
          <w:bCs/>
          <w:color w:val="auto"/>
          <w:sz w:val="32"/>
          <w:szCs w:val="32"/>
          <w:lang w:eastAsia="zh-CN"/>
        </w:rPr>
        <w:t>教育、卫生医疗等</w:t>
      </w:r>
      <w:r>
        <w:rPr>
          <w:rFonts w:hint="default" w:ascii="Times New Roman" w:hAnsi="Times New Roman" w:eastAsia="仿宋_GB2312" w:cs="Times New Roman"/>
          <w:b w:val="0"/>
          <w:bCs w:val="0"/>
          <w:color w:val="auto"/>
          <w:sz w:val="32"/>
          <w:szCs w:val="32"/>
          <w:highlight w:val="none"/>
          <w:lang w:val="en-US" w:eastAsia="zh-CN"/>
        </w:rPr>
        <w:t>更多项目和资金，</w:t>
      </w:r>
      <w:r>
        <w:rPr>
          <w:rFonts w:hint="default" w:ascii="Times New Roman" w:hAnsi="Times New Roman" w:eastAsia="仿宋_GB2312" w:cs="Times New Roman"/>
          <w:color w:val="auto"/>
          <w:sz w:val="32"/>
          <w:szCs w:val="32"/>
        </w:rPr>
        <w:t>进一步加强直达资金监管</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color w:val="auto"/>
          <w:sz w:val="32"/>
          <w:szCs w:val="32"/>
          <w:lang w:val="en-US" w:eastAsia="zh-CN"/>
        </w:rPr>
        <w:t>多渠道筹措资金，全力保障</w:t>
      </w:r>
      <w:r>
        <w:rPr>
          <w:rFonts w:hint="eastAsia" w:ascii="Times New Roman" w:hAnsi="Times New Roman" w:eastAsia="仿宋_GB2312" w:cs="Times New Roman"/>
          <w:b w:val="0"/>
          <w:bCs/>
          <w:color w:val="auto"/>
          <w:sz w:val="32"/>
          <w:szCs w:val="32"/>
          <w:lang w:val="en-US" w:eastAsia="zh-CN"/>
        </w:rPr>
        <w:t>我区</w:t>
      </w:r>
      <w:r>
        <w:rPr>
          <w:rFonts w:hint="default" w:ascii="Times New Roman" w:hAnsi="Times New Roman" w:eastAsia="仿宋_GB2312" w:cs="Times New Roman"/>
          <w:b w:val="0"/>
          <w:bCs/>
          <w:color w:val="auto"/>
          <w:sz w:val="32"/>
          <w:szCs w:val="32"/>
          <w:lang w:val="en-US" w:eastAsia="zh-CN"/>
        </w:rPr>
        <w:t>经济社会发展。</w:t>
      </w:r>
    </w:p>
    <w:p w14:paraId="5D27AB18">
      <w:pPr>
        <w:keepNext w:val="0"/>
        <w:keepLines w:val="0"/>
        <w:pageBreakBefore w:val="0"/>
        <w:widowControl w:val="0"/>
        <w:numPr>
          <w:ilvl w:val="0"/>
          <w:numId w:val="2"/>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576" w:lineRule="exact"/>
        <w:ind w:left="0" w:firstLine="643"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楷体_GB2312" w:cs="Times New Roman"/>
          <w:b/>
          <w:bCs w:val="0"/>
          <w:color w:val="auto"/>
          <w:sz w:val="32"/>
          <w:szCs w:val="32"/>
          <w:lang w:val="en-US" w:eastAsia="zh-CN"/>
        </w:rPr>
        <w:t>保“三保”，改善民生水平。</w:t>
      </w:r>
      <w:r>
        <w:rPr>
          <w:rFonts w:hint="default" w:ascii="Times New Roman" w:hAnsi="Times New Roman" w:eastAsia="仿宋_GB2312" w:cs="Times New Roman"/>
          <w:bCs/>
          <w:color w:val="auto"/>
          <w:kern w:val="0"/>
          <w:sz w:val="32"/>
          <w:szCs w:val="32"/>
          <w:highlight w:val="none"/>
          <w:u w:val="none"/>
          <w:lang w:val="en-US" w:eastAsia="zh-CN"/>
        </w:rPr>
        <w:t>加大财政支出强度，</w:t>
      </w:r>
      <w:r>
        <w:rPr>
          <w:rFonts w:hint="eastAsia" w:ascii="Times New Roman" w:hAnsi="Times New Roman" w:eastAsia="仿宋_GB2312" w:cs="Times New Roman"/>
          <w:bCs/>
          <w:color w:val="auto"/>
          <w:kern w:val="0"/>
          <w:sz w:val="32"/>
          <w:szCs w:val="32"/>
          <w:highlight w:val="none"/>
          <w:u w:val="none"/>
          <w:lang w:val="en-US" w:eastAsia="zh-CN"/>
        </w:rPr>
        <w:t>兜牢兜实“三保”底线</w:t>
      </w:r>
      <w:r>
        <w:rPr>
          <w:rFonts w:hint="default" w:ascii="Times New Roman" w:hAnsi="Times New Roman" w:eastAsia="仿宋_GB2312" w:cs="Times New Roman"/>
          <w:bCs/>
          <w:color w:val="auto"/>
          <w:kern w:val="0"/>
          <w:sz w:val="32"/>
          <w:szCs w:val="32"/>
          <w:highlight w:val="none"/>
          <w:u w:val="none"/>
          <w:lang w:val="en-US" w:eastAsia="zh-CN"/>
        </w:rPr>
        <w:t>，按照“尽力而为、量力而行” 的原则，</w:t>
      </w:r>
      <w:r>
        <w:rPr>
          <w:rFonts w:hint="default" w:ascii="Times New Roman" w:hAnsi="Times New Roman" w:eastAsia="仿宋_GB2312" w:cs="Times New Roman"/>
          <w:b w:val="0"/>
          <w:bCs w:val="0"/>
          <w:i w:val="0"/>
          <w:iCs w:val="0"/>
          <w:caps w:val="0"/>
          <w:color w:val="auto"/>
          <w:spacing w:val="0"/>
          <w:sz w:val="32"/>
          <w:szCs w:val="32"/>
          <w:highlight w:val="none"/>
          <w:shd w:val="clear" w:color="auto" w:fill="FFFFFF"/>
          <w:lang w:val="en-US" w:eastAsia="zh-CN"/>
        </w:rPr>
        <w:t>着力保障教育、医疗、科技、就业等民生领域的资金需求，</w:t>
      </w:r>
      <w:r>
        <w:rPr>
          <w:rFonts w:hint="default" w:ascii="Times New Roman" w:hAnsi="Times New Roman" w:eastAsia="仿宋_GB2312" w:cs="Times New Roman"/>
          <w:color w:val="auto"/>
          <w:sz w:val="32"/>
          <w:szCs w:val="32"/>
        </w:rPr>
        <w:t>完善结余资金收回使用机制，积极调整优化支出结构，</w:t>
      </w:r>
      <w:r>
        <w:rPr>
          <w:rFonts w:hint="default" w:ascii="Times New Roman" w:hAnsi="Times New Roman" w:eastAsia="仿宋_GB2312" w:cs="Times New Roman"/>
          <w:b w:val="0"/>
          <w:bCs w:val="0"/>
          <w:i w:val="0"/>
          <w:iCs w:val="0"/>
          <w:caps w:val="0"/>
          <w:color w:val="auto"/>
          <w:spacing w:val="0"/>
          <w:sz w:val="32"/>
          <w:szCs w:val="32"/>
          <w:highlight w:val="none"/>
          <w:shd w:val="clear" w:color="auto" w:fill="FFFFFF"/>
          <w:lang w:val="en-US" w:eastAsia="zh-CN"/>
        </w:rPr>
        <w:t>进一步提升财政资源配置效率和资金使用效益，</w:t>
      </w:r>
      <w:r>
        <w:rPr>
          <w:rFonts w:hint="default" w:ascii="Times New Roman" w:hAnsi="Times New Roman" w:eastAsia="仿宋_GB2312" w:cs="Times New Roman"/>
          <w:color w:val="auto"/>
          <w:sz w:val="32"/>
          <w:szCs w:val="32"/>
        </w:rPr>
        <w:t>持续加大民生保障力度</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i w:val="0"/>
          <w:iCs w:val="0"/>
          <w:caps w:val="0"/>
          <w:color w:val="auto"/>
          <w:spacing w:val="0"/>
          <w:sz w:val="32"/>
          <w:szCs w:val="32"/>
          <w:highlight w:val="none"/>
          <w:shd w:val="clear" w:color="auto" w:fill="FFFFFF"/>
          <w:lang w:val="en-US" w:eastAsia="zh-CN"/>
        </w:rPr>
        <w:t>不断增进民生福祉。</w:t>
      </w:r>
    </w:p>
    <w:p w14:paraId="16D02E70">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pacing w:line="576" w:lineRule="exact"/>
        <w:ind w:left="0"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bCs/>
          <w:color w:val="auto"/>
          <w:sz w:val="32"/>
          <w:szCs w:val="32"/>
        </w:rPr>
        <w:t>（</w:t>
      </w:r>
      <w:r>
        <w:rPr>
          <w:rFonts w:hint="default" w:ascii="Times New Roman" w:hAnsi="Times New Roman" w:eastAsia="楷体_GB2312" w:cs="Times New Roman"/>
          <w:b/>
          <w:bCs/>
          <w:color w:val="auto"/>
          <w:sz w:val="32"/>
          <w:szCs w:val="32"/>
          <w:lang w:eastAsia="zh-CN"/>
        </w:rPr>
        <w:t>四</w:t>
      </w:r>
      <w:r>
        <w:rPr>
          <w:rFonts w:hint="default" w:ascii="Times New Roman" w:hAnsi="Times New Roman" w:eastAsia="楷体_GB2312" w:cs="Times New Roman"/>
          <w:b/>
          <w:bCs/>
          <w:color w:val="auto"/>
          <w:sz w:val="32"/>
          <w:szCs w:val="32"/>
        </w:rPr>
        <w:t>）</w:t>
      </w:r>
      <w:r>
        <w:rPr>
          <w:rFonts w:hint="default" w:ascii="Times New Roman" w:hAnsi="Times New Roman" w:eastAsia="楷体_GB2312" w:cs="Times New Roman"/>
          <w:b/>
          <w:color w:val="auto"/>
          <w:sz w:val="32"/>
          <w:szCs w:val="32"/>
        </w:rPr>
        <w:t>强管理，防范债务风险。</w:t>
      </w:r>
      <w:r>
        <w:rPr>
          <w:rFonts w:hint="default" w:ascii="Times New Roman" w:hAnsi="Times New Roman" w:eastAsia="仿宋_GB2312" w:cs="Times New Roman"/>
          <w:b w:val="0"/>
          <w:bCs/>
          <w:color w:val="auto"/>
          <w:sz w:val="32"/>
          <w:szCs w:val="32"/>
          <w:lang w:val="en-US" w:eastAsia="zh-CN"/>
        </w:rPr>
        <w:t>严控专项债项目申报，提高专项债项目质量，加强专项债项目管理，认真组织项目收益</w:t>
      </w:r>
      <w:r>
        <w:rPr>
          <w:rFonts w:hint="eastAsia" w:ascii="Times New Roman" w:hAnsi="Times New Roman" w:eastAsia="仿宋_GB2312" w:cs="Times New Roman"/>
          <w:b w:val="0"/>
          <w:bCs/>
          <w:color w:val="auto"/>
          <w:sz w:val="32"/>
          <w:szCs w:val="32"/>
          <w:lang w:val="en-US" w:eastAsia="zh-CN"/>
        </w:rPr>
        <w:t>。</w:t>
      </w:r>
      <w:r>
        <w:rPr>
          <w:rFonts w:hint="default" w:ascii="Times New Roman" w:hAnsi="Times New Roman" w:eastAsia="仿宋_GB2312" w:cs="Times New Roman"/>
          <w:b w:val="0"/>
          <w:bCs/>
          <w:color w:val="auto"/>
          <w:sz w:val="32"/>
          <w:szCs w:val="32"/>
          <w:lang w:val="en-US" w:eastAsia="zh-CN"/>
        </w:rPr>
        <w:t>兜牢防范化解风险底线，严格十年化债方案，</w:t>
      </w:r>
      <w:r>
        <w:rPr>
          <w:rFonts w:hint="default" w:ascii="Times New Roman" w:hAnsi="Times New Roman" w:eastAsia="仿宋_GB2312" w:cs="Times New Roman"/>
          <w:b w:val="0"/>
          <w:bCs w:val="0"/>
          <w:color w:val="auto"/>
          <w:sz w:val="32"/>
          <w:szCs w:val="32"/>
          <w:lang w:val="en-US" w:eastAsia="zh-CN"/>
        </w:rPr>
        <w:t>落实一债一策，</w:t>
      </w:r>
      <w:r>
        <w:rPr>
          <w:rFonts w:hint="default" w:ascii="Times New Roman" w:hAnsi="Times New Roman" w:eastAsia="仿宋_GB2312" w:cs="Times New Roman"/>
          <w:b w:val="0"/>
          <w:bCs/>
          <w:color w:val="auto"/>
          <w:sz w:val="32"/>
          <w:szCs w:val="32"/>
          <w:lang w:val="en-US" w:eastAsia="zh-CN"/>
        </w:rPr>
        <w:t>按照还款计划，妥善化解存量债务</w:t>
      </w:r>
      <w:r>
        <w:rPr>
          <w:rFonts w:hint="eastAsia" w:ascii="Times New Roman" w:hAnsi="Times New Roman" w:eastAsia="仿宋_GB2312" w:cs="Times New Roman"/>
          <w:b w:val="0"/>
          <w:bCs/>
          <w:color w:val="auto"/>
          <w:sz w:val="32"/>
          <w:szCs w:val="32"/>
          <w:lang w:val="en-US" w:eastAsia="zh-CN"/>
        </w:rPr>
        <w:t>。</w:t>
      </w:r>
      <w:r>
        <w:rPr>
          <w:rFonts w:hint="default" w:ascii="Times New Roman" w:hAnsi="Times New Roman" w:eastAsia="仿宋_GB2312" w:cs="Times New Roman"/>
          <w:color w:val="auto"/>
          <w:sz w:val="32"/>
          <w:szCs w:val="32"/>
          <w:lang w:val="en-US" w:eastAsia="zh-CN"/>
        </w:rPr>
        <w:t>强化债务风险管理，</w:t>
      </w:r>
      <w:r>
        <w:rPr>
          <w:rFonts w:hint="eastAsia" w:ascii="Times New Roman" w:hAnsi="Times New Roman" w:eastAsia="仿宋_GB2312" w:cs="Times New Roman"/>
          <w:color w:val="auto"/>
          <w:sz w:val="32"/>
          <w:szCs w:val="32"/>
          <w:lang w:val="en-US" w:eastAsia="zh-CN"/>
        </w:rPr>
        <w:t>积极稳妥降低</w:t>
      </w:r>
      <w:r>
        <w:rPr>
          <w:rFonts w:hint="default" w:ascii="Times New Roman" w:hAnsi="Times New Roman" w:eastAsia="仿宋_GB2312" w:cs="Times New Roman"/>
          <w:color w:val="auto"/>
          <w:sz w:val="32"/>
          <w:szCs w:val="32"/>
          <w:lang w:val="en-US" w:eastAsia="zh-CN"/>
        </w:rPr>
        <w:t>债务率，提前做好风险预测评估工作，及时排查风险点，确保各项指标严格控制在警戒线之内。</w:t>
      </w:r>
    </w:p>
    <w:p w14:paraId="1B5747EF">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bCs/>
          <w:color w:val="auto"/>
          <w:sz w:val="32"/>
          <w:szCs w:val="32"/>
        </w:rPr>
        <w:t>（</w:t>
      </w:r>
      <w:r>
        <w:rPr>
          <w:rFonts w:hint="default" w:ascii="Times New Roman" w:hAnsi="Times New Roman" w:eastAsia="楷体_GB2312" w:cs="Times New Roman"/>
          <w:b/>
          <w:bCs/>
          <w:color w:val="auto"/>
          <w:sz w:val="32"/>
          <w:szCs w:val="32"/>
          <w:lang w:eastAsia="zh-CN"/>
        </w:rPr>
        <w:t>五）</w:t>
      </w:r>
      <w:r>
        <w:rPr>
          <w:rFonts w:hint="default" w:ascii="Times New Roman" w:hAnsi="Times New Roman" w:eastAsia="楷体_GB2312" w:cs="Times New Roman"/>
          <w:b/>
          <w:color w:val="auto"/>
          <w:sz w:val="32"/>
          <w:szCs w:val="32"/>
        </w:rPr>
        <w:t>稳市场，</w:t>
      </w:r>
      <w:r>
        <w:rPr>
          <w:rFonts w:hint="default" w:ascii="Times New Roman" w:hAnsi="Times New Roman" w:eastAsia="楷体_GB2312" w:cs="Times New Roman"/>
          <w:b/>
          <w:bCs/>
          <w:color w:val="auto"/>
          <w:sz w:val="32"/>
          <w:szCs w:val="32"/>
        </w:rPr>
        <w:t>深化国企改革</w:t>
      </w:r>
      <w:r>
        <w:rPr>
          <w:rFonts w:hint="default" w:ascii="Times New Roman" w:hAnsi="Times New Roman" w:eastAsia="楷体_GB2312" w:cs="Times New Roman"/>
          <w:b/>
          <w:bCs/>
          <w:color w:val="auto"/>
          <w:sz w:val="32"/>
          <w:szCs w:val="32"/>
          <w:lang w:eastAsia="zh-CN"/>
        </w:rPr>
        <w:t>。</w:t>
      </w:r>
      <w:r>
        <w:rPr>
          <w:rFonts w:hint="default" w:ascii="Times New Roman" w:hAnsi="Times New Roman" w:eastAsia="仿宋_GB2312" w:cs="Times New Roman"/>
          <w:color w:val="auto"/>
          <w:sz w:val="32"/>
          <w:szCs w:val="32"/>
          <w:lang w:eastAsia="zh-CN"/>
        </w:rPr>
        <w:t>加大金融扶持力度，强化跟踪帮办服务，降低企业经营成本，激发市场主体活力。</w:t>
      </w:r>
      <w:r>
        <w:rPr>
          <w:rFonts w:hint="default" w:ascii="Times New Roman" w:hAnsi="Times New Roman" w:eastAsia="仿宋_GB2312" w:cs="Times New Roman"/>
          <w:b w:val="0"/>
          <w:bCs w:val="0"/>
          <w:color w:val="auto"/>
          <w:kern w:val="2"/>
          <w:sz w:val="32"/>
          <w:szCs w:val="32"/>
          <w:lang w:val="en-US" w:eastAsia="zh-CN" w:bidi="ar-SA"/>
        </w:rPr>
        <w:t>引导银行机构将更多贷款向小微企业倾斜；进一步发挥担保和小贷公司支持实体经济作用，落实降费政策，扩大担保融资规模，解决中小微企业融资难题。</w:t>
      </w:r>
      <w:r>
        <w:rPr>
          <w:rFonts w:hint="default" w:ascii="Times New Roman" w:hAnsi="Times New Roman" w:eastAsia="仿宋_GB2312" w:cs="Times New Roman"/>
          <w:color w:val="auto"/>
          <w:sz w:val="32"/>
          <w:szCs w:val="32"/>
        </w:rPr>
        <w:t>持续提升国有企业公司治理水平，加大市场化转型步伐</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highlight w:val="none"/>
          <w:lang w:val="en-US" w:eastAsia="zh-CN"/>
        </w:rPr>
        <w:t>健全各项规章制度，对国有资产进行公开透明运作</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进一步深化国企改革三年行动成果</w:t>
      </w:r>
      <w:r>
        <w:rPr>
          <w:rFonts w:hint="eastAsia" w:ascii="Times New Roman" w:hAnsi="Times New Roman" w:eastAsia="仿宋_GB2312" w:cs="Times New Roman"/>
          <w:color w:val="auto"/>
          <w:sz w:val="32"/>
          <w:szCs w:val="32"/>
          <w:highlight w:val="none"/>
          <w:lang w:val="en-US" w:eastAsia="zh-CN"/>
        </w:rPr>
        <w:t>，积极探索实行</w:t>
      </w:r>
      <w:r>
        <w:rPr>
          <w:rFonts w:hint="default" w:ascii="Times New Roman" w:hAnsi="Times New Roman" w:eastAsia="仿宋_GB2312" w:cs="Times New Roman"/>
          <w:color w:val="auto"/>
          <w:sz w:val="32"/>
          <w:szCs w:val="32"/>
          <w:highlight w:val="none"/>
          <w:lang w:val="en-US" w:eastAsia="zh-CN"/>
        </w:rPr>
        <w:t>中层竞争上岗及双向选择等制度，</w:t>
      </w:r>
      <w:r>
        <w:rPr>
          <w:rFonts w:hint="default" w:ascii="Times New Roman" w:hAnsi="Times New Roman" w:eastAsia="仿宋_GB2312" w:cs="Times New Roman"/>
          <w:color w:val="auto"/>
          <w:sz w:val="32"/>
          <w:szCs w:val="32"/>
        </w:rPr>
        <w:t>加强区属企业内控体系建设和合规管理</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rPr>
        <w:t>确保国资国企安全稳定形势持续向好。</w:t>
      </w:r>
    </w:p>
    <w:p w14:paraId="4E6BDE82">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576" w:lineRule="exact"/>
        <w:ind w:left="0" w:firstLine="643" w:firstLineChars="200"/>
        <w:jc w:val="both"/>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楷体_GB2312" w:cs="Times New Roman"/>
          <w:b/>
          <w:bCs/>
          <w:color w:val="auto"/>
          <w:sz w:val="32"/>
          <w:szCs w:val="32"/>
          <w:lang w:val="en-US" w:eastAsia="zh-CN"/>
        </w:rPr>
        <w:t>（六）抓落实，深入财会监督。</w:t>
      </w:r>
      <w:r>
        <w:rPr>
          <w:rFonts w:hint="default" w:ascii="Times New Roman" w:hAnsi="Times New Roman" w:eastAsia="仿宋_GB2312" w:cs="Times New Roman"/>
          <w:color w:val="auto"/>
          <w:sz w:val="32"/>
          <w:szCs w:val="32"/>
          <w:lang w:val="en-US" w:eastAsia="zh-CN"/>
        </w:rPr>
        <w:t>严格贯彻落实《关于进一步加强财会监督工作的意见》精神，主动承担起规范财政财务管理、提高会计信息质量、维护财经纪律和市场经济秩序等方面的重要保障作用。将财政工作</w:t>
      </w:r>
      <w:r>
        <w:rPr>
          <w:rFonts w:hint="default" w:ascii="Times New Roman" w:hAnsi="Times New Roman" w:eastAsia="仿宋_GB2312" w:cs="Times New Roman"/>
          <w:b w:val="0"/>
          <w:bCs w:val="0"/>
          <w:color w:val="auto"/>
          <w:sz w:val="32"/>
          <w:szCs w:val="32"/>
          <w:lang w:val="en-US" w:eastAsia="zh-CN"/>
        </w:rPr>
        <w:t>各领域都纳入财会监督对象，充分发挥财政监督在预防风险和规范管理上的作用。</w:t>
      </w:r>
      <w:r>
        <w:rPr>
          <w:rFonts w:hint="default" w:ascii="Times New Roman" w:hAnsi="Times New Roman" w:eastAsia="仿宋_GB2312" w:cs="Times New Roman"/>
          <w:color w:val="auto"/>
          <w:sz w:val="32"/>
          <w:szCs w:val="32"/>
          <w:lang w:val="en-US" w:eastAsia="zh-CN"/>
        </w:rPr>
        <w:t>特别是在中央直达资金、乡镇财政资金、惠农补贴资金、财务管理、三公经费管理等方面，改变自查为主方式，提高抽查比例，将专项监督与统筹监督相结合，健全奖惩机制，真正起到财会监督作用。</w:t>
      </w:r>
    </w:p>
    <w:p w14:paraId="4639A04A">
      <w:pPr>
        <w:pStyle w:val="6"/>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pacing w:after="0" w:line="576" w:lineRule="exact"/>
        <w:ind w:left="0"/>
        <w:jc w:val="both"/>
        <w:textAlignment w:val="auto"/>
        <w:rPr>
          <w:rFonts w:hint="default" w:ascii="Times New Roman" w:hAnsi="Times New Roman" w:eastAsia="仿宋_GB2312" w:cs="Times New Roman"/>
          <w:color w:val="auto"/>
          <w:sz w:val="32"/>
          <w:szCs w:val="32"/>
        </w:rPr>
      </w:pPr>
    </w:p>
    <w:p w14:paraId="278A2939">
      <w:pPr>
        <w:pStyle w:val="6"/>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pacing w:after="0" w:line="576" w:lineRule="exact"/>
        <w:ind w:left="0"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附件：1. 报告相关表格</w:t>
      </w:r>
    </w:p>
    <w:p w14:paraId="646996AF">
      <w:pPr>
        <w:pStyle w:val="6"/>
        <w:keepNext w:val="0"/>
        <w:keepLines w:val="0"/>
        <w:pageBreakBefore w:val="0"/>
        <w:numPr>
          <w:ilvl w:val="0"/>
          <w:numId w:val="3"/>
        </w:numPr>
        <w:kinsoku/>
        <w:wordWrap/>
        <w:overflowPunct/>
        <w:topLinePunct w:val="0"/>
        <w:autoSpaceDE/>
        <w:autoSpaceDN/>
        <w:bidi w:val="0"/>
        <w:adjustRightInd/>
        <w:spacing w:after="0" w:line="576" w:lineRule="exact"/>
        <w:ind w:firstLine="1600" w:firstLineChars="5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报告相关名词解释</w:t>
      </w:r>
    </w:p>
    <w:p w14:paraId="7B09134D">
      <w:pPr>
        <w:pStyle w:val="6"/>
        <w:spacing w:after="0" w:line="576" w:lineRule="exact"/>
        <w:rPr>
          <w:rStyle w:val="20"/>
          <w:rFonts w:hint="default" w:ascii="Times New Roman" w:hAnsi="Times New Roman" w:eastAsia="黑体" w:cs="Times New Roman"/>
          <w:color w:val="auto"/>
          <w:kern w:val="0"/>
          <w:sz w:val="32"/>
          <w:szCs w:val="32"/>
        </w:rPr>
      </w:pPr>
      <w:r>
        <w:rPr>
          <w:rFonts w:hint="default" w:ascii="Times New Roman" w:hAnsi="Times New Roman" w:eastAsia="仿宋_GB2312" w:cs="Times New Roman"/>
          <w:color w:val="auto"/>
          <w:sz w:val="32"/>
          <w:szCs w:val="32"/>
        </w:rPr>
        <w:br w:type="page"/>
      </w:r>
      <w:r>
        <w:rPr>
          <w:rStyle w:val="20"/>
          <w:rFonts w:hint="default" w:ascii="Times New Roman" w:hAnsi="Times New Roman" w:eastAsia="黑体" w:cs="Times New Roman"/>
          <w:color w:val="auto"/>
          <w:kern w:val="0"/>
          <w:sz w:val="32"/>
          <w:szCs w:val="32"/>
        </w:rPr>
        <w:t>附件1：</w:t>
      </w:r>
    </w:p>
    <w:p w14:paraId="28AC7526">
      <w:pPr>
        <w:spacing w:line="540" w:lineRule="exact"/>
        <w:rPr>
          <w:rFonts w:hint="default" w:ascii="Times New Roman" w:hAnsi="Times New Roman" w:eastAsia="仿宋_GB2312" w:cs="Times New Roman"/>
          <w:color w:val="auto"/>
          <w:sz w:val="32"/>
        </w:rPr>
      </w:pPr>
    </w:p>
    <w:tbl>
      <w:tblPr>
        <w:tblStyle w:val="17"/>
        <w:tblW w:w="8874" w:type="dxa"/>
        <w:jc w:val="center"/>
        <w:tblLayout w:type="fixed"/>
        <w:tblCellMar>
          <w:top w:w="0" w:type="dxa"/>
          <w:left w:w="0" w:type="dxa"/>
          <w:bottom w:w="0" w:type="dxa"/>
          <w:right w:w="0" w:type="dxa"/>
        </w:tblCellMar>
      </w:tblPr>
      <w:tblGrid>
        <w:gridCol w:w="3410"/>
        <w:gridCol w:w="1236"/>
        <w:gridCol w:w="2885"/>
        <w:gridCol w:w="1343"/>
      </w:tblGrid>
      <w:tr w14:paraId="78553DDD">
        <w:tblPrEx>
          <w:tblCellMar>
            <w:top w:w="0" w:type="dxa"/>
            <w:left w:w="0" w:type="dxa"/>
            <w:bottom w:w="0" w:type="dxa"/>
            <w:right w:w="0" w:type="dxa"/>
          </w:tblCellMar>
        </w:tblPrEx>
        <w:trPr>
          <w:trHeight w:val="270" w:hRule="atLeast"/>
          <w:jc w:val="center"/>
        </w:trPr>
        <w:tc>
          <w:tcPr>
            <w:tcW w:w="8874" w:type="dxa"/>
            <w:gridSpan w:val="4"/>
            <w:tcBorders>
              <w:top w:val="nil"/>
              <w:left w:val="nil"/>
              <w:bottom w:val="nil"/>
              <w:right w:val="nil"/>
            </w:tcBorders>
            <w:noWrap/>
            <w:tcMar>
              <w:top w:w="15" w:type="dxa"/>
              <w:left w:w="15" w:type="dxa"/>
              <w:right w:w="15" w:type="dxa"/>
            </w:tcMar>
            <w:vAlign w:val="center"/>
          </w:tcPr>
          <w:p w14:paraId="16BE990D">
            <w:pPr>
              <w:widowControl/>
              <w:jc w:val="center"/>
              <w:textAlignment w:val="center"/>
              <w:rPr>
                <w:rFonts w:hint="default" w:ascii="Times New Roman" w:hAnsi="Times New Roman" w:cs="Times New Roman"/>
                <w:b/>
                <w:color w:val="auto"/>
                <w:sz w:val="22"/>
                <w:szCs w:val="22"/>
              </w:rPr>
            </w:pPr>
            <w:r>
              <w:rPr>
                <w:rFonts w:hint="default" w:ascii="Times New Roman" w:hAnsi="Times New Roman" w:eastAsia="方正小标宋简体" w:cs="Times New Roman"/>
                <w:bCs/>
                <w:color w:val="auto"/>
                <w:kern w:val="0"/>
                <w:sz w:val="32"/>
                <w:szCs w:val="32"/>
              </w:rPr>
              <w:t>202</w:t>
            </w:r>
            <w:r>
              <w:rPr>
                <w:rFonts w:hint="default" w:ascii="Times New Roman" w:hAnsi="Times New Roman" w:eastAsia="方正小标宋简体" w:cs="Times New Roman"/>
                <w:bCs/>
                <w:color w:val="auto"/>
                <w:kern w:val="0"/>
                <w:sz w:val="32"/>
                <w:szCs w:val="32"/>
                <w:lang w:val="en-US" w:eastAsia="zh-CN"/>
              </w:rPr>
              <w:t>3</w:t>
            </w:r>
            <w:r>
              <w:rPr>
                <w:rFonts w:hint="default" w:ascii="Times New Roman" w:hAnsi="Times New Roman" w:eastAsia="方正小标宋简体" w:cs="Times New Roman"/>
                <w:bCs/>
                <w:color w:val="auto"/>
                <w:kern w:val="0"/>
                <w:sz w:val="32"/>
                <w:szCs w:val="32"/>
              </w:rPr>
              <w:t>年度一般公共预算收支决算总表（表一）</w:t>
            </w:r>
          </w:p>
        </w:tc>
      </w:tr>
      <w:tr w14:paraId="38833111">
        <w:tblPrEx>
          <w:tblCellMar>
            <w:top w:w="0" w:type="dxa"/>
            <w:left w:w="0" w:type="dxa"/>
            <w:bottom w:w="0" w:type="dxa"/>
            <w:right w:w="0" w:type="dxa"/>
          </w:tblCellMar>
        </w:tblPrEx>
        <w:trPr>
          <w:trHeight w:val="270" w:hRule="atLeast"/>
          <w:jc w:val="center"/>
        </w:trPr>
        <w:tc>
          <w:tcPr>
            <w:tcW w:w="8874" w:type="dxa"/>
            <w:gridSpan w:val="4"/>
            <w:tcBorders>
              <w:top w:val="nil"/>
              <w:left w:val="nil"/>
              <w:bottom w:val="nil"/>
              <w:right w:val="nil"/>
            </w:tcBorders>
            <w:noWrap/>
            <w:tcMar>
              <w:top w:w="15" w:type="dxa"/>
              <w:left w:w="15" w:type="dxa"/>
              <w:right w:w="15" w:type="dxa"/>
            </w:tcMar>
            <w:vAlign w:val="center"/>
          </w:tcPr>
          <w:p w14:paraId="78EDA676">
            <w:pPr>
              <w:widowControl/>
              <w:jc w:val="right"/>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单位:万元</w:t>
            </w:r>
          </w:p>
        </w:tc>
      </w:tr>
      <w:tr w14:paraId="11B67F5B">
        <w:tblPrEx>
          <w:tblCellMar>
            <w:top w:w="0" w:type="dxa"/>
            <w:left w:w="0" w:type="dxa"/>
            <w:bottom w:w="0" w:type="dxa"/>
            <w:right w:w="0" w:type="dxa"/>
          </w:tblCellMar>
        </w:tblPrEx>
        <w:trPr>
          <w:trHeight w:val="585" w:hRule="atLeast"/>
          <w:jc w:val="center"/>
        </w:trPr>
        <w:tc>
          <w:tcPr>
            <w:tcW w:w="341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A291EDA">
            <w:pPr>
              <w:widowControl/>
              <w:jc w:val="center"/>
              <w:textAlignment w:val="center"/>
              <w:rPr>
                <w:rFonts w:hint="default" w:ascii="Times New Roman" w:hAnsi="Times New Roman" w:cs="Times New Roman"/>
                <w:b/>
                <w:bCs/>
                <w:color w:val="auto"/>
                <w:sz w:val="24"/>
              </w:rPr>
            </w:pPr>
            <w:r>
              <w:rPr>
                <w:rFonts w:hint="default" w:ascii="Times New Roman" w:hAnsi="Times New Roman" w:cs="Times New Roman"/>
                <w:b/>
                <w:bCs/>
                <w:color w:val="auto"/>
                <w:kern w:val="0"/>
                <w:sz w:val="24"/>
              </w:rPr>
              <w:t>项目</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87D5E58">
            <w:pPr>
              <w:widowControl/>
              <w:jc w:val="center"/>
              <w:textAlignment w:val="center"/>
              <w:rPr>
                <w:rFonts w:hint="default" w:ascii="Times New Roman" w:hAnsi="Times New Roman" w:cs="Times New Roman"/>
                <w:b/>
                <w:bCs/>
                <w:color w:val="auto"/>
                <w:sz w:val="24"/>
              </w:rPr>
            </w:pPr>
            <w:r>
              <w:rPr>
                <w:rFonts w:hint="default" w:ascii="Times New Roman" w:hAnsi="Times New Roman" w:cs="Times New Roman"/>
                <w:b/>
                <w:bCs/>
                <w:color w:val="auto"/>
                <w:kern w:val="0"/>
                <w:sz w:val="24"/>
              </w:rPr>
              <w:t>决算数</w:t>
            </w:r>
          </w:p>
        </w:tc>
        <w:tc>
          <w:tcPr>
            <w:tcW w:w="288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A1BA95D">
            <w:pPr>
              <w:widowControl/>
              <w:jc w:val="center"/>
              <w:textAlignment w:val="center"/>
              <w:rPr>
                <w:rFonts w:hint="default" w:ascii="Times New Roman" w:hAnsi="Times New Roman" w:cs="Times New Roman"/>
                <w:b/>
                <w:bCs/>
                <w:color w:val="auto"/>
                <w:sz w:val="24"/>
              </w:rPr>
            </w:pPr>
            <w:r>
              <w:rPr>
                <w:rFonts w:hint="default" w:ascii="Times New Roman" w:hAnsi="Times New Roman" w:cs="Times New Roman"/>
                <w:b/>
                <w:bCs/>
                <w:color w:val="auto"/>
                <w:kern w:val="0"/>
                <w:sz w:val="24"/>
              </w:rPr>
              <w:t>项目</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CAD0C9F">
            <w:pPr>
              <w:widowControl/>
              <w:jc w:val="center"/>
              <w:textAlignment w:val="center"/>
              <w:rPr>
                <w:rFonts w:hint="default" w:ascii="Times New Roman" w:hAnsi="Times New Roman" w:cs="Times New Roman"/>
                <w:b/>
                <w:bCs/>
                <w:color w:val="auto"/>
                <w:sz w:val="24"/>
              </w:rPr>
            </w:pPr>
            <w:r>
              <w:rPr>
                <w:rFonts w:hint="default" w:ascii="Times New Roman" w:hAnsi="Times New Roman" w:cs="Times New Roman"/>
                <w:b/>
                <w:bCs/>
                <w:color w:val="auto"/>
                <w:kern w:val="0"/>
                <w:sz w:val="24"/>
              </w:rPr>
              <w:t>决算数</w:t>
            </w:r>
          </w:p>
        </w:tc>
      </w:tr>
      <w:tr w14:paraId="2355A8F2">
        <w:tblPrEx>
          <w:tblCellMar>
            <w:top w:w="0" w:type="dxa"/>
            <w:left w:w="0" w:type="dxa"/>
            <w:bottom w:w="0" w:type="dxa"/>
            <w:right w:w="0" w:type="dxa"/>
          </w:tblCellMar>
        </w:tblPrEx>
        <w:trPr>
          <w:trHeight w:val="537" w:hRule="atLeast"/>
          <w:jc w:val="center"/>
        </w:trPr>
        <w:tc>
          <w:tcPr>
            <w:tcW w:w="341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E9D6AE7">
            <w:pPr>
              <w:widowControl/>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一般公共预算收入</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DDF6C4D">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rPr>
              <w:t>6</w:t>
            </w:r>
            <w:r>
              <w:rPr>
                <w:rFonts w:hint="default" w:ascii="Times New Roman" w:hAnsi="Times New Roman" w:cs="Times New Roman"/>
                <w:color w:val="auto"/>
                <w:kern w:val="0"/>
                <w:sz w:val="24"/>
                <w:lang w:val="en-US" w:eastAsia="zh-CN"/>
              </w:rPr>
              <w:t>7710</w:t>
            </w:r>
          </w:p>
        </w:tc>
        <w:tc>
          <w:tcPr>
            <w:tcW w:w="288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1C27EA0">
            <w:pPr>
              <w:widowControl/>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一般公共预算支出</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CE0B563">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rPr>
              <w:t>18</w:t>
            </w:r>
            <w:r>
              <w:rPr>
                <w:rFonts w:hint="default" w:ascii="Times New Roman" w:hAnsi="Times New Roman" w:cs="Times New Roman"/>
                <w:color w:val="auto"/>
                <w:kern w:val="0"/>
                <w:sz w:val="24"/>
                <w:lang w:val="en-US" w:eastAsia="zh-CN"/>
              </w:rPr>
              <w:t>4035</w:t>
            </w:r>
          </w:p>
        </w:tc>
      </w:tr>
      <w:tr w14:paraId="0D035AA7">
        <w:tblPrEx>
          <w:tblCellMar>
            <w:top w:w="0" w:type="dxa"/>
            <w:left w:w="0" w:type="dxa"/>
            <w:bottom w:w="0" w:type="dxa"/>
            <w:right w:w="0" w:type="dxa"/>
          </w:tblCellMar>
        </w:tblPrEx>
        <w:trPr>
          <w:trHeight w:val="545" w:hRule="atLeast"/>
          <w:jc w:val="center"/>
        </w:trPr>
        <w:tc>
          <w:tcPr>
            <w:tcW w:w="341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36364EE">
            <w:pPr>
              <w:widowControl/>
              <w:jc w:val="left"/>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上级补助收入</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31671DE">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rPr>
              <w:t>8</w:t>
            </w:r>
            <w:r>
              <w:rPr>
                <w:rFonts w:hint="default" w:ascii="Times New Roman" w:hAnsi="Times New Roman" w:cs="Times New Roman"/>
                <w:color w:val="auto"/>
                <w:kern w:val="0"/>
                <w:sz w:val="24"/>
                <w:lang w:val="en-US" w:eastAsia="zh-CN"/>
              </w:rPr>
              <w:t>2312</w:t>
            </w:r>
          </w:p>
        </w:tc>
        <w:tc>
          <w:tcPr>
            <w:tcW w:w="288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4CA1EAD">
            <w:pPr>
              <w:widowControl/>
              <w:jc w:val="left"/>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上解支出</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736EC9B">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lang w:val="en-US" w:eastAsia="zh-CN"/>
              </w:rPr>
              <w:t>4593</w:t>
            </w:r>
          </w:p>
        </w:tc>
      </w:tr>
      <w:tr w14:paraId="0BC54FC2">
        <w:tblPrEx>
          <w:tblCellMar>
            <w:top w:w="0" w:type="dxa"/>
            <w:left w:w="0" w:type="dxa"/>
            <w:bottom w:w="0" w:type="dxa"/>
            <w:right w:w="0" w:type="dxa"/>
          </w:tblCellMar>
        </w:tblPrEx>
        <w:trPr>
          <w:trHeight w:val="539" w:hRule="atLeast"/>
          <w:jc w:val="center"/>
        </w:trPr>
        <w:tc>
          <w:tcPr>
            <w:tcW w:w="341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8CC6067">
            <w:pPr>
              <w:widowControl/>
              <w:jc w:val="left"/>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 xml:space="preserve">    其中：一般性转移支付收入</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8A206E0">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lang w:val="en-US" w:eastAsia="zh-CN"/>
              </w:rPr>
              <w:t>68980</w:t>
            </w:r>
          </w:p>
        </w:tc>
        <w:tc>
          <w:tcPr>
            <w:tcW w:w="288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bottom"/>
          </w:tcPr>
          <w:p w14:paraId="03C00FDD">
            <w:pPr>
              <w:rPr>
                <w:rFonts w:hint="default" w:ascii="Times New Roman" w:hAnsi="Times New Roman" w:cs="Times New Roman"/>
                <w:color w:val="auto"/>
                <w:sz w:val="24"/>
              </w:rPr>
            </w:pP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0A45AF4">
            <w:pPr>
              <w:jc w:val="center"/>
              <w:rPr>
                <w:rFonts w:hint="default" w:ascii="Times New Roman" w:hAnsi="Times New Roman" w:cs="Times New Roman"/>
                <w:color w:val="auto"/>
                <w:sz w:val="24"/>
              </w:rPr>
            </w:pPr>
          </w:p>
        </w:tc>
      </w:tr>
      <w:tr w14:paraId="75C654E7">
        <w:tblPrEx>
          <w:tblCellMar>
            <w:top w:w="0" w:type="dxa"/>
            <w:left w:w="0" w:type="dxa"/>
            <w:bottom w:w="0" w:type="dxa"/>
            <w:right w:w="0" w:type="dxa"/>
          </w:tblCellMar>
        </w:tblPrEx>
        <w:trPr>
          <w:trHeight w:val="547" w:hRule="atLeast"/>
          <w:jc w:val="center"/>
        </w:trPr>
        <w:tc>
          <w:tcPr>
            <w:tcW w:w="341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477C8A2">
            <w:pPr>
              <w:widowControl/>
              <w:jc w:val="left"/>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 xml:space="preserve">         专项转移支付收入</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821C5D0">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rPr>
              <w:t>1</w:t>
            </w:r>
            <w:r>
              <w:rPr>
                <w:rFonts w:hint="default" w:ascii="Times New Roman" w:hAnsi="Times New Roman" w:cs="Times New Roman"/>
                <w:color w:val="auto"/>
                <w:kern w:val="0"/>
                <w:sz w:val="24"/>
                <w:lang w:val="en-US" w:eastAsia="zh-CN"/>
              </w:rPr>
              <w:t>3332</w:t>
            </w:r>
          </w:p>
        </w:tc>
        <w:tc>
          <w:tcPr>
            <w:tcW w:w="288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5F9D188">
            <w:pPr>
              <w:jc w:val="left"/>
              <w:rPr>
                <w:rFonts w:hint="default" w:ascii="Times New Roman" w:hAnsi="Times New Roman" w:cs="Times New Roman"/>
                <w:color w:val="auto"/>
                <w:sz w:val="24"/>
              </w:rPr>
            </w:pP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CC729D9">
            <w:pPr>
              <w:jc w:val="center"/>
              <w:rPr>
                <w:rFonts w:hint="default" w:ascii="Times New Roman" w:hAnsi="Times New Roman" w:cs="Times New Roman"/>
                <w:color w:val="auto"/>
                <w:sz w:val="24"/>
              </w:rPr>
            </w:pPr>
          </w:p>
        </w:tc>
      </w:tr>
      <w:tr w14:paraId="31C1C6D5">
        <w:tblPrEx>
          <w:tblCellMar>
            <w:top w:w="0" w:type="dxa"/>
            <w:left w:w="0" w:type="dxa"/>
            <w:bottom w:w="0" w:type="dxa"/>
            <w:right w:w="0" w:type="dxa"/>
          </w:tblCellMar>
        </w:tblPrEx>
        <w:trPr>
          <w:trHeight w:val="399" w:hRule="atLeast"/>
          <w:jc w:val="center"/>
        </w:trPr>
        <w:tc>
          <w:tcPr>
            <w:tcW w:w="341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61C5685">
            <w:pPr>
              <w:widowControl/>
              <w:jc w:val="left"/>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上年结余</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A7B87FD">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rPr>
              <w:t>30</w:t>
            </w:r>
            <w:r>
              <w:rPr>
                <w:rFonts w:hint="default" w:ascii="Times New Roman" w:hAnsi="Times New Roman" w:cs="Times New Roman"/>
                <w:color w:val="auto"/>
                <w:kern w:val="0"/>
                <w:sz w:val="24"/>
                <w:lang w:val="en-US" w:eastAsia="zh-CN"/>
              </w:rPr>
              <w:t>58</w:t>
            </w:r>
          </w:p>
        </w:tc>
        <w:tc>
          <w:tcPr>
            <w:tcW w:w="288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B7E7948">
            <w:pPr>
              <w:jc w:val="left"/>
              <w:rPr>
                <w:rFonts w:hint="default" w:ascii="Times New Roman" w:hAnsi="Times New Roman" w:cs="Times New Roman"/>
                <w:color w:val="auto"/>
                <w:sz w:val="24"/>
              </w:rPr>
            </w:pP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7309A49">
            <w:pPr>
              <w:jc w:val="center"/>
              <w:rPr>
                <w:rFonts w:hint="default" w:ascii="Times New Roman" w:hAnsi="Times New Roman" w:cs="Times New Roman"/>
                <w:color w:val="auto"/>
                <w:sz w:val="24"/>
              </w:rPr>
            </w:pPr>
          </w:p>
        </w:tc>
      </w:tr>
      <w:tr w14:paraId="41A8DE3C">
        <w:tblPrEx>
          <w:tblCellMar>
            <w:top w:w="0" w:type="dxa"/>
            <w:left w:w="0" w:type="dxa"/>
            <w:bottom w:w="0" w:type="dxa"/>
            <w:right w:w="0" w:type="dxa"/>
          </w:tblCellMar>
        </w:tblPrEx>
        <w:trPr>
          <w:trHeight w:val="404" w:hRule="atLeast"/>
          <w:jc w:val="center"/>
        </w:trPr>
        <w:tc>
          <w:tcPr>
            <w:tcW w:w="341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13B87BD">
            <w:pPr>
              <w:widowControl/>
              <w:jc w:val="left"/>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调入资金</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395B8A5">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lang w:val="en-US" w:eastAsia="zh-CN"/>
              </w:rPr>
              <w:t>42353</w:t>
            </w:r>
          </w:p>
        </w:tc>
        <w:tc>
          <w:tcPr>
            <w:tcW w:w="288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6C1DD2A">
            <w:pPr>
              <w:widowControl/>
              <w:jc w:val="left"/>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调出资金</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0C953C2">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sz w:val="24"/>
                <w:lang w:val="en-US" w:eastAsia="zh-CN"/>
              </w:rPr>
              <w:t>4407</w:t>
            </w:r>
          </w:p>
        </w:tc>
      </w:tr>
      <w:tr w14:paraId="1678F8DB">
        <w:tblPrEx>
          <w:tblCellMar>
            <w:top w:w="0" w:type="dxa"/>
            <w:left w:w="0" w:type="dxa"/>
            <w:bottom w:w="0" w:type="dxa"/>
            <w:right w:w="0" w:type="dxa"/>
          </w:tblCellMar>
        </w:tblPrEx>
        <w:trPr>
          <w:trHeight w:val="538" w:hRule="atLeast"/>
          <w:jc w:val="center"/>
        </w:trPr>
        <w:tc>
          <w:tcPr>
            <w:tcW w:w="341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2B87241">
            <w:pPr>
              <w:widowControl/>
              <w:jc w:val="left"/>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地方政府一般债务转贷收入</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F82D99D">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lang w:val="en-US" w:eastAsia="zh-CN"/>
              </w:rPr>
              <w:t>19116</w:t>
            </w:r>
          </w:p>
        </w:tc>
        <w:tc>
          <w:tcPr>
            <w:tcW w:w="288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3F04F4D">
            <w:pPr>
              <w:widowControl/>
              <w:jc w:val="left"/>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地方政府一般债务还本支出</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A8857C8">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lang w:val="en-US" w:eastAsia="zh-CN"/>
              </w:rPr>
              <w:t>18400</w:t>
            </w:r>
          </w:p>
        </w:tc>
      </w:tr>
      <w:tr w14:paraId="1DFDA85D">
        <w:tblPrEx>
          <w:tblCellMar>
            <w:top w:w="0" w:type="dxa"/>
            <w:left w:w="0" w:type="dxa"/>
            <w:bottom w:w="0" w:type="dxa"/>
            <w:right w:w="0" w:type="dxa"/>
          </w:tblCellMar>
        </w:tblPrEx>
        <w:trPr>
          <w:trHeight w:val="546" w:hRule="atLeast"/>
          <w:jc w:val="center"/>
        </w:trPr>
        <w:tc>
          <w:tcPr>
            <w:tcW w:w="341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EDFA779">
            <w:pPr>
              <w:jc w:val="left"/>
              <w:rPr>
                <w:rFonts w:hint="default" w:ascii="Times New Roman" w:hAnsi="Times New Roman" w:cs="Times New Roman"/>
                <w:color w:val="auto"/>
                <w:sz w:val="24"/>
              </w:rPr>
            </w:pP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9E2C241">
            <w:pPr>
              <w:jc w:val="center"/>
              <w:rPr>
                <w:rFonts w:hint="default" w:ascii="Times New Roman" w:hAnsi="Times New Roman" w:cs="Times New Roman"/>
                <w:color w:val="auto"/>
                <w:sz w:val="24"/>
              </w:rPr>
            </w:pPr>
          </w:p>
        </w:tc>
        <w:tc>
          <w:tcPr>
            <w:tcW w:w="288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331EED3">
            <w:pPr>
              <w:widowControl/>
              <w:jc w:val="left"/>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补充预算周转金</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227B2F2">
            <w:pPr>
              <w:widowControl/>
              <w:jc w:val="center"/>
              <w:textAlignment w:val="center"/>
              <w:rPr>
                <w:rFonts w:hint="default" w:ascii="Times New Roman" w:hAnsi="Times New Roman" w:cs="Times New Roman"/>
                <w:color w:val="auto"/>
                <w:sz w:val="24"/>
              </w:rPr>
            </w:pPr>
          </w:p>
        </w:tc>
      </w:tr>
      <w:tr w14:paraId="78FC89AD">
        <w:tblPrEx>
          <w:tblCellMar>
            <w:top w:w="0" w:type="dxa"/>
            <w:left w:w="0" w:type="dxa"/>
            <w:bottom w:w="0" w:type="dxa"/>
            <w:right w:w="0" w:type="dxa"/>
          </w:tblCellMar>
        </w:tblPrEx>
        <w:trPr>
          <w:trHeight w:val="824" w:hRule="atLeast"/>
          <w:jc w:val="center"/>
        </w:trPr>
        <w:tc>
          <w:tcPr>
            <w:tcW w:w="341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CCFC01A">
            <w:pPr>
              <w:widowControl/>
              <w:jc w:val="left"/>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国债转贷收入、上年结余及转补助数</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3B01308">
            <w:pPr>
              <w:widowControl/>
              <w:jc w:val="center"/>
              <w:textAlignment w:val="center"/>
              <w:rPr>
                <w:rFonts w:hint="default" w:ascii="Times New Roman" w:hAnsi="Times New Roman" w:cs="Times New Roman"/>
                <w:color w:val="auto"/>
                <w:sz w:val="24"/>
              </w:rPr>
            </w:pPr>
          </w:p>
        </w:tc>
        <w:tc>
          <w:tcPr>
            <w:tcW w:w="288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520E60A">
            <w:pPr>
              <w:widowControl/>
              <w:jc w:val="left"/>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国债转贷拨付数及年终结余</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3F5D854">
            <w:pPr>
              <w:widowControl/>
              <w:jc w:val="center"/>
              <w:textAlignment w:val="center"/>
              <w:rPr>
                <w:rFonts w:hint="default" w:ascii="Times New Roman" w:hAnsi="Times New Roman" w:cs="Times New Roman"/>
                <w:color w:val="auto"/>
                <w:sz w:val="24"/>
              </w:rPr>
            </w:pPr>
          </w:p>
        </w:tc>
      </w:tr>
      <w:tr w14:paraId="2EB91F7F">
        <w:tblPrEx>
          <w:tblCellMar>
            <w:top w:w="0" w:type="dxa"/>
            <w:left w:w="0" w:type="dxa"/>
            <w:bottom w:w="0" w:type="dxa"/>
            <w:right w:w="0" w:type="dxa"/>
          </w:tblCellMar>
        </w:tblPrEx>
        <w:trPr>
          <w:trHeight w:val="539" w:hRule="atLeast"/>
          <w:jc w:val="center"/>
        </w:trPr>
        <w:tc>
          <w:tcPr>
            <w:tcW w:w="341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E51ED80">
            <w:pPr>
              <w:widowControl/>
              <w:jc w:val="left"/>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动用预算稳定调节基金</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5399316">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lang w:val="en-US" w:eastAsia="zh-CN"/>
              </w:rPr>
              <w:t>157</w:t>
            </w:r>
          </w:p>
        </w:tc>
        <w:tc>
          <w:tcPr>
            <w:tcW w:w="288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9E3BB92">
            <w:pPr>
              <w:widowControl/>
              <w:jc w:val="left"/>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安排预算稳定调节基金</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E134198">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lang w:val="en-US" w:eastAsia="zh-CN"/>
              </w:rPr>
              <w:t>210</w:t>
            </w:r>
          </w:p>
        </w:tc>
      </w:tr>
      <w:tr w14:paraId="3E152958">
        <w:tblPrEx>
          <w:tblCellMar>
            <w:top w:w="0" w:type="dxa"/>
            <w:left w:w="0" w:type="dxa"/>
            <w:bottom w:w="0" w:type="dxa"/>
            <w:right w:w="0" w:type="dxa"/>
          </w:tblCellMar>
        </w:tblPrEx>
        <w:trPr>
          <w:trHeight w:val="547" w:hRule="atLeast"/>
          <w:jc w:val="center"/>
        </w:trPr>
        <w:tc>
          <w:tcPr>
            <w:tcW w:w="341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19E84E5">
            <w:pPr>
              <w:jc w:val="left"/>
              <w:rPr>
                <w:rFonts w:hint="default" w:ascii="Times New Roman" w:hAnsi="Times New Roman" w:cs="Times New Roman"/>
                <w:b/>
                <w:bCs/>
                <w:color w:val="auto"/>
                <w:sz w:val="24"/>
              </w:rPr>
            </w:pP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315A8D0">
            <w:pPr>
              <w:jc w:val="center"/>
              <w:rPr>
                <w:rFonts w:hint="default" w:ascii="Times New Roman" w:hAnsi="Times New Roman" w:cs="Times New Roman"/>
                <w:color w:val="auto"/>
                <w:sz w:val="24"/>
              </w:rPr>
            </w:pPr>
          </w:p>
        </w:tc>
        <w:tc>
          <w:tcPr>
            <w:tcW w:w="288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D41E5C4">
            <w:pPr>
              <w:widowControl/>
              <w:jc w:val="left"/>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年终结余</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1CB10CB">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sz w:val="24"/>
                <w:lang w:val="en-US" w:eastAsia="zh-CN"/>
              </w:rPr>
              <w:t>3061</w:t>
            </w:r>
          </w:p>
        </w:tc>
      </w:tr>
      <w:tr w14:paraId="7795970B">
        <w:tblPrEx>
          <w:tblCellMar>
            <w:top w:w="0" w:type="dxa"/>
            <w:left w:w="0" w:type="dxa"/>
            <w:bottom w:w="0" w:type="dxa"/>
            <w:right w:w="0" w:type="dxa"/>
          </w:tblCellMar>
        </w:tblPrEx>
        <w:trPr>
          <w:trHeight w:val="541" w:hRule="atLeast"/>
          <w:jc w:val="center"/>
        </w:trPr>
        <w:tc>
          <w:tcPr>
            <w:tcW w:w="341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BF7030F">
            <w:pPr>
              <w:jc w:val="left"/>
              <w:rPr>
                <w:rFonts w:hint="default" w:ascii="Times New Roman" w:hAnsi="Times New Roman" w:cs="Times New Roman"/>
                <w:b/>
                <w:bCs/>
                <w:color w:val="auto"/>
                <w:sz w:val="24"/>
              </w:rPr>
            </w:pP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5FE78FF">
            <w:pPr>
              <w:jc w:val="center"/>
              <w:rPr>
                <w:rFonts w:hint="default" w:ascii="Times New Roman" w:hAnsi="Times New Roman" w:cs="Times New Roman"/>
                <w:color w:val="auto"/>
                <w:sz w:val="24"/>
              </w:rPr>
            </w:pPr>
          </w:p>
        </w:tc>
        <w:tc>
          <w:tcPr>
            <w:tcW w:w="288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8F0CD08">
            <w:pPr>
              <w:widowControl/>
              <w:jc w:val="left"/>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减:结转下年的支出</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358C77A">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sz w:val="24"/>
                <w:lang w:val="en-US" w:eastAsia="zh-CN"/>
              </w:rPr>
              <w:t>3061</w:t>
            </w:r>
          </w:p>
        </w:tc>
      </w:tr>
      <w:tr w14:paraId="544AD240">
        <w:tblPrEx>
          <w:tblCellMar>
            <w:top w:w="0" w:type="dxa"/>
            <w:left w:w="0" w:type="dxa"/>
            <w:bottom w:w="0" w:type="dxa"/>
            <w:right w:w="0" w:type="dxa"/>
          </w:tblCellMar>
        </w:tblPrEx>
        <w:trPr>
          <w:trHeight w:val="393" w:hRule="atLeast"/>
          <w:jc w:val="center"/>
        </w:trPr>
        <w:tc>
          <w:tcPr>
            <w:tcW w:w="341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977E2BF">
            <w:pPr>
              <w:jc w:val="left"/>
              <w:rPr>
                <w:rFonts w:hint="default" w:ascii="Times New Roman" w:hAnsi="Times New Roman" w:cs="Times New Roman"/>
                <w:b/>
                <w:bCs/>
                <w:color w:val="auto"/>
                <w:sz w:val="24"/>
              </w:rPr>
            </w:pP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9216495">
            <w:pPr>
              <w:jc w:val="center"/>
              <w:rPr>
                <w:rFonts w:hint="default" w:ascii="Times New Roman" w:hAnsi="Times New Roman" w:cs="Times New Roman"/>
                <w:color w:val="auto"/>
                <w:sz w:val="24"/>
              </w:rPr>
            </w:pPr>
          </w:p>
        </w:tc>
        <w:tc>
          <w:tcPr>
            <w:tcW w:w="288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68C56D3">
            <w:pPr>
              <w:widowControl/>
              <w:jc w:val="left"/>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净结余</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98CB8C7">
            <w:pPr>
              <w:widowControl/>
              <w:jc w:val="center"/>
              <w:textAlignment w:val="center"/>
              <w:rPr>
                <w:rFonts w:hint="default" w:ascii="Times New Roman" w:hAnsi="Times New Roman" w:cs="Times New Roman"/>
                <w:color w:val="auto"/>
                <w:sz w:val="24"/>
              </w:rPr>
            </w:pPr>
          </w:p>
        </w:tc>
      </w:tr>
      <w:tr w14:paraId="0A0FD5C6">
        <w:tblPrEx>
          <w:tblCellMar>
            <w:top w:w="0" w:type="dxa"/>
            <w:left w:w="0" w:type="dxa"/>
            <w:bottom w:w="0" w:type="dxa"/>
            <w:right w:w="0" w:type="dxa"/>
          </w:tblCellMar>
        </w:tblPrEx>
        <w:trPr>
          <w:trHeight w:val="540" w:hRule="atLeast"/>
          <w:jc w:val="center"/>
        </w:trPr>
        <w:tc>
          <w:tcPr>
            <w:tcW w:w="341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30DEC16">
            <w:pPr>
              <w:widowControl/>
              <w:jc w:val="center"/>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收  入  总  计</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403B2D5">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lang w:val="en-US" w:eastAsia="zh-CN"/>
              </w:rPr>
              <w:t>214706</w:t>
            </w:r>
          </w:p>
        </w:tc>
        <w:tc>
          <w:tcPr>
            <w:tcW w:w="288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DA504FB">
            <w:pPr>
              <w:widowControl/>
              <w:jc w:val="center"/>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支  出  总  计</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22F9939">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lang w:val="en-US" w:eastAsia="zh-CN"/>
              </w:rPr>
              <w:t>214706</w:t>
            </w:r>
          </w:p>
        </w:tc>
      </w:tr>
    </w:tbl>
    <w:p w14:paraId="6C271C1F">
      <w:pPr>
        <w:spacing w:line="560" w:lineRule="exact"/>
        <w:rPr>
          <w:rStyle w:val="20"/>
          <w:rFonts w:hint="default" w:ascii="Times New Roman" w:hAnsi="Times New Roman" w:eastAsia="黑体" w:cs="Times New Roman"/>
          <w:color w:val="auto"/>
          <w:kern w:val="0"/>
          <w:sz w:val="32"/>
          <w:szCs w:val="32"/>
        </w:rPr>
      </w:pPr>
    </w:p>
    <w:p w14:paraId="7855431D">
      <w:pPr>
        <w:pStyle w:val="11"/>
        <w:rPr>
          <w:rStyle w:val="20"/>
          <w:rFonts w:hint="default" w:ascii="Times New Roman" w:hAnsi="Times New Roman" w:eastAsia="黑体" w:cs="Times New Roman"/>
          <w:color w:val="auto"/>
          <w:kern w:val="0"/>
          <w:sz w:val="32"/>
          <w:szCs w:val="32"/>
        </w:rPr>
      </w:pPr>
    </w:p>
    <w:p w14:paraId="13AC4637">
      <w:pPr>
        <w:rPr>
          <w:rStyle w:val="20"/>
          <w:rFonts w:hint="default" w:ascii="Times New Roman" w:hAnsi="Times New Roman" w:eastAsia="黑体" w:cs="Times New Roman"/>
          <w:color w:val="auto"/>
          <w:kern w:val="0"/>
          <w:sz w:val="32"/>
          <w:szCs w:val="32"/>
        </w:rPr>
      </w:pPr>
    </w:p>
    <w:tbl>
      <w:tblPr>
        <w:tblStyle w:val="17"/>
        <w:tblW w:w="9363" w:type="dxa"/>
        <w:jc w:val="center"/>
        <w:tblLayout w:type="fixed"/>
        <w:tblCellMar>
          <w:top w:w="0" w:type="dxa"/>
          <w:left w:w="0" w:type="dxa"/>
          <w:bottom w:w="0" w:type="dxa"/>
          <w:right w:w="0" w:type="dxa"/>
        </w:tblCellMar>
      </w:tblPr>
      <w:tblGrid>
        <w:gridCol w:w="3203"/>
        <w:gridCol w:w="1427"/>
        <w:gridCol w:w="3032"/>
        <w:gridCol w:w="1701"/>
      </w:tblGrid>
      <w:tr w14:paraId="5E0A7C6E">
        <w:tblPrEx>
          <w:tblCellMar>
            <w:top w:w="0" w:type="dxa"/>
            <w:left w:w="0" w:type="dxa"/>
            <w:bottom w:w="0" w:type="dxa"/>
            <w:right w:w="0" w:type="dxa"/>
          </w:tblCellMar>
        </w:tblPrEx>
        <w:trPr>
          <w:trHeight w:val="615" w:hRule="atLeast"/>
          <w:jc w:val="center"/>
        </w:trPr>
        <w:tc>
          <w:tcPr>
            <w:tcW w:w="9363" w:type="dxa"/>
            <w:gridSpan w:val="4"/>
            <w:tcBorders>
              <w:top w:val="nil"/>
              <w:left w:val="nil"/>
              <w:bottom w:val="nil"/>
              <w:right w:val="nil"/>
            </w:tcBorders>
            <w:noWrap/>
            <w:tcMar>
              <w:top w:w="15" w:type="dxa"/>
              <w:left w:w="15" w:type="dxa"/>
              <w:right w:w="15" w:type="dxa"/>
            </w:tcMar>
            <w:vAlign w:val="center"/>
          </w:tcPr>
          <w:p w14:paraId="019FC47F">
            <w:pPr>
              <w:widowControl/>
              <w:jc w:val="center"/>
              <w:textAlignment w:val="center"/>
              <w:rPr>
                <w:rFonts w:hint="default" w:ascii="Times New Roman" w:hAnsi="Times New Roman" w:cs="Times New Roman"/>
                <w:b/>
                <w:color w:val="auto"/>
                <w:sz w:val="28"/>
                <w:szCs w:val="28"/>
              </w:rPr>
            </w:pPr>
            <w:r>
              <w:rPr>
                <w:rFonts w:hint="default" w:ascii="Times New Roman" w:hAnsi="Times New Roman" w:eastAsia="方正小标宋简体" w:cs="Times New Roman"/>
                <w:bCs/>
                <w:color w:val="auto"/>
                <w:kern w:val="0"/>
                <w:sz w:val="32"/>
                <w:szCs w:val="32"/>
              </w:rPr>
              <w:t>202</w:t>
            </w:r>
            <w:r>
              <w:rPr>
                <w:rFonts w:hint="default" w:ascii="Times New Roman" w:hAnsi="Times New Roman" w:eastAsia="方正小标宋简体" w:cs="Times New Roman"/>
                <w:bCs/>
                <w:color w:val="auto"/>
                <w:kern w:val="0"/>
                <w:sz w:val="32"/>
                <w:szCs w:val="32"/>
                <w:lang w:val="en-US" w:eastAsia="zh-CN"/>
              </w:rPr>
              <w:t>3</w:t>
            </w:r>
            <w:r>
              <w:rPr>
                <w:rFonts w:hint="default" w:ascii="Times New Roman" w:hAnsi="Times New Roman" w:eastAsia="方正小标宋简体" w:cs="Times New Roman"/>
                <w:bCs/>
                <w:color w:val="auto"/>
                <w:kern w:val="0"/>
                <w:sz w:val="32"/>
                <w:szCs w:val="32"/>
              </w:rPr>
              <w:t>年度政府性基金预算收支决算总表（表二）</w:t>
            </w:r>
          </w:p>
        </w:tc>
      </w:tr>
      <w:tr w14:paraId="7204DE05">
        <w:tblPrEx>
          <w:tblCellMar>
            <w:top w:w="0" w:type="dxa"/>
            <w:left w:w="0" w:type="dxa"/>
            <w:bottom w:w="0" w:type="dxa"/>
            <w:right w:w="0" w:type="dxa"/>
          </w:tblCellMar>
        </w:tblPrEx>
        <w:trPr>
          <w:trHeight w:val="315" w:hRule="atLeast"/>
          <w:jc w:val="center"/>
        </w:trPr>
        <w:tc>
          <w:tcPr>
            <w:tcW w:w="9363" w:type="dxa"/>
            <w:gridSpan w:val="4"/>
            <w:tcBorders>
              <w:top w:val="nil"/>
              <w:left w:val="nil"/>
              <w:bottom w:val="nil"/>
              <w:right w:val="nil"/>
            </w:tcBorders>
            <w:noWrap/>
            <w:tcMar>
              <w:top w:w="15" w:type="dxa"/>
              <w:left w:w="15" w:type="dxa"/>
              <w:right w:w="15" w:type="dxa"/>
            </w:tcMar>
            <w:vAlign w:val="center"/>
          </w:tcPr>
          <w:p w14:paraId="17D2FA92">
            <w:pPr>
              <w:widowControl/>
              <w:jc w:val="right"/>
              <w:textAlignment w:val="center"/>
              <w:rPr>
                <w:rFonts w:hint="default" w:ascii="Times New Roman" w:hAnsi="Times New Roman" w:cs="Times New Roman"/>
                <w:color w:val="auto"/>
                <w:sz w:val="22"/>
                <w:szCs w:val="22"/>
              </w:rPr>
            </w:pPr>
            <w:r>
              <w:rPr>
                <w:rFonts w:hint="default" w:ascii="Times New Roman" w:hAnsi="Times New Roman" w:cs="Times New Roman"/>
                <w:color w:val="auto"/>
                <w:kern w:val="0"/>
                <w:sz w:val="24"/>
              </w:rPr>
              <w:t>单位:万元</w:t>
            </w:r>
          </w:p>
        </w:tc>
      </w:tr>
      <w:tr w14:paraId="5E56D0FC">
        <w:tblPrEx>
          <w:tblCellMar>
            <w:top w:w="0" w:type="dxa"/>
            <w:left w:w="0" w:type="dxa"/>
            <w:bottom w:w="0" w:type="dxa"/>
            <w:right w:w="0" w:type="dxa"/>
          </w:tblCellMar>
        </w:tblPrEx>
        <w:trPr>
          <w:trHeight w:val="570" w:hRule="atLeast"/>
          <w:jc w:val="center"/>
        </w:trPr>
        <w:tc>
          <w:tcPr>
            <w:tcW w:w="320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3A76D1A">
            <w:pPr>
              <w:widowControl/>
              <w:jc w:val="center"/>
              <w:rPr>
                <w:rFonts w:hint="default" w:ascii="Times New Roman" w:hAnsi="Times New Roman" w:cs="Times New Roman"/>
                <w:b/>
                <w:bCs/>
                <w:color w:val="auto"/>
                <w:sz w:val="24"/>
              </w:rPr>
            </w:pPr>
            <w:r>
              <w:rPr>
                <w:rFonts w:hint="default" w:ascii="Times New Roman" w:hAnsi="Times New Roman" w:cs="Times New Roman"/>
                <w:b/>
                <w:bCs/>
                <w:color w:val="auto"/>
                <w:kern w:val="0"/>
                <w:sz w:val="24"/>
              </w:rPr>
              <w:t>项目</w:t>
            </w:r>
          </w:p>
        </w:tc>
        <w:tc>
          <w:tcPr>
            <w:tcW w:w="142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4BB13B7">
            <w:pPr>
              <w:widowControl/>
              <w:jc w:val="center"/>
              <w:textAlignment w:val="center"/>
              <w:rPr>
                <w:rFonts w:hint="default" w:ascii="Times New Roman" w:hAnsi="Times New Roman" w:cs="Times New Roman"/>
                <w:b/>
                <w:bCs/>
                <w:color w:val="auto"/>
                <w:sz w:val="24"/>
              </w:rPr>
            </w:pPr>
            <w:r>
              <w:rPr>
                <w:rFonts w:hint="default" w:ascii="Times New Roman" w:hAnsi="Times New Roman" w:cs="Times New Roman"/>
                <w:b/>
                <w:bCs/>
                <w:color w:val="auto"/>
                <w:kern w:val="0"/>
                <w:sz w:val="24"/>
              </w:rPr>
              <w:t>决算数</w:t>
            </w:r>
          </w:p>
        </w:tc>
        <w:tc>
          <w:tcPr>
            <w:tcW w:w="30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71F6E83">
            <w:pPr>
              <w:widowControl/>
              <w:jc w:val="center"/>
              <w:rPr>
                <w:rFonts w:hint="default" w:ascii="Times New Roman" w:hAnsi="Times New Roman" w:cs="Times New Roman"/>
                <w:b/>
                <w:bCs/>
                <w:color w:val="auto"/>
                <w:sz w:val="24"/>
              </w:rPr>
            </w:pPr>
            <w:r>
              <w:rPr>
                <w:rFonts w:hint="default" w:ascii="Times New Roman" w:hAnsi="Times New Roman" w:cs="Times New Roman"/>
                <w:b/>
                <w:bCs/>
                <w:color w:val="auto"/>
                <w:kern w:val="0"/>
                <w:sz w:val="24"/>
              </w:rPr>
              <w:t>项目</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90A33C8">
            <w:pPr>
              <w:widowControl/>
              <w:jc w:val="center"/>
              <w:textAlignment w:val="center"/>
              <w:rPr>
                <w:rFonts w:hint="default" w:ascii="Times New Roman" w:hAnsi="Times New Roman" w:cs="Times New Roman"/>
                <w:b/>
                <w:bCs/>
                <w:color w:val="auto"/>
                <w:sz w:val="24"/>
              </w:rPr>
            </w:pPr>
            <w:r>
              <w:rPr>
                <w:rFonts w:hint="default" w:ascii="Times New Roman" w:hAnsi="Times New Roman" w:cs="Times New Roman"/>
                <w:b/>
                <w:bCs/>
                <w:color w:val="auto"/>
                <w:kern w:val="0"/>
                <w:sz w:val="24"/>
              </w:rPr>
              <w:t>决算数</w:t>
            </w:r>
          </w:p>
        </w:tc>
      </w:tr>
      <w:tr w14:paraId="5090634F">
        <w:tblPrEx>
          <w:tblCellMar>
            <w:top w:w="0" w:type="dxa"/>
            <w:left w:w="0" w:type="dxa"/>
            <w:bottom w:w="0" w:type="dxa"/>
            <w:right w:w="0" w:type="dxa"/>
          </w:tblCellMar>
        </w:tblPrEx>
        <w:trPr>
          <w:trHeight w:val="536" w:hRule="atLeast"/>
          <w:jc w:val="center"/>
        </w:trPr>
        <w:tc>
          <w:tcPr>
            <w:tcW w:w="320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511D792">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政府性基金预算收入</w:t>
            </w:r>
          </w:p>
        </w:tc>
        <w:tc>
          <w:tcPr>
            <w:tcW w:w="142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6DE1935">
            <w:pPr>
              <w:widowControl/>
              <w:jc w:val="center"/>
              <w:textAlignment w:val="center"/>
              <w:rPr>
                <w:rFonts w:hint="default" w:ascii="Times New Roman" w:hAnsi="Times New Roman" w:cs="Times New Roman"/>
                <w:color w:val="auto"/>
                <w:sz w:val="24"/>
              </w:rPr>
            </w:pPr>
          </w:p>
        </w:tc>
        <w:tc>
          <w:tcPr>
            <w:tcW w:w="30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84A2F3A">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政府性基金预算支出</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EA90029">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lang w:val="en-US" w:eastAsia="zh-CN"/>
              </w:rPr>
              <w:t>171818</w:t>
            </w:r>
          </w:p>
        </w:tc>
      </w:tr>
      <w:tr w14:paraId="22FC04C6">
        <w:tblPrEx>
          <w:tblCellMar>
            <w:top w:w="0" w:type="dxa"/>
            <w:left w:w="0" w:type="dxa"/>
            <w:bottom w:w="0" w:type="dxa"/>
            <w:right w:w="0" w:type="dxa"/>
          </w:tblCellMar>
        </w:tblPrEx>
        <w:trPr>
          <w:trHeight w:val="486" w:hRule="atLeast"/>
          <w:jc w:val="center"/>
        </w:trPr>
        <w:tc>
          <w:tcPr>
            <w:tcW w:w="320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A53380C">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上级补助收入</w:t>
            </w:r>
          </w:p>
        </w:tc>
        <w:tc>
          <w:tcPr>
            <w:tcW w:w="142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5D42579">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lang w:val="en-US" w:eastAsia="zh-CN"/>
              </w:rPr>
              <w:t>3226</w:t>
            </w:r>
          </w:p>
        </w:tc>
        <w:tc>
          <w:tcPr>
            <w:tcW w:w="30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4CDED9C">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上解上级支出</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0F22E28">
            <w:pPr>
              <w:widowControl/>
              <w:jc w:val="center"/>
              <w:textAlignment w:val="center"/>
              <w:rPr>
                <w:rFonts w:hint="default" w:ascii="Times New Roman" w:hAnsi="Times New Roman" w:cs="Times New Roman"/>
                <w:color w:val="auto"/>
                <w:sz w:val="24"/>
              </w:rPr>
            </w:pPr>
          </w:p>
        </w:tc>
      </w:tr>
      <w:tr w14:paraId="0C7FEB3D">
        <w:tblPrEx>
          <w:tblCellMar>
            <w:top w:w="0" w:type="dxa"/>
            <w:left w:w="0" w:type="dxa"/>
            <w:bottom w:w="0" w:type="dxa"/>
            <w:right w:w="0" w:type="dxa"/>
          </w:tblCellMar>
        </w:tblPrEx>
        <w:trPr>
          <w:trHeight w:val="464" w:hRule="atLeast"/>
          <w:jc w:val="center"/>
        </w:trPr>
        <w:tc>
          <w:tcPr>
            <w:tcW w:w="320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CDB55E7">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上年结余</w:t>
            </w:r>
          </w:p>
        </w:tc>
        <w:tc>
          <w:tcPr>
            <w:tcW w:w="142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645438A">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lang w:val="en-US" w:eastAsia="zh-CN"/>
              </w:rPr>
              <w:t>212</w:t>
            </w:r>
          </w:p>
        </w:tc>
        <w:tc>
          <w:tcPr>
            <w:tcW w:w="30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F2D0197">
            <w:pPr>
              <w:jc w:val="center"/>
              <w:rPr>
                <w:rFonts w:hint="default" w:ascii="Times New Roman" w:hAnsi="Times New Roman" w:cs="Times New Roman"/>
                <w:color w:val="auto"/>
                <w:sz w:val="24"/>
              </w:rPr>
            </w:pP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92776BC">
            <w:pPr>
              <w:jc w:val="center"/>
              <w:rPr>
                <w:rFonts w:hint="default" w:ascii="Times New Roman" w:hAnsi="Times New Roman" w:cs="Times New Roman"/>
                <w:color w:val="auto"/>
                <w:sz w:val="24"/>
              </w:rPr>
            </w:pPr>
          </w:p>
        </w:tc>
      </w:tr>
      <w:tr w14:paraId="6D9A5A66">
        <w:tblPrEx>
          <w:tblCellMar>
            <w:top w:w="0" w:type="dxa"/>
            <w:left w:w="0" w:type="dxa"/>
            <w:bottom w:w="0" w:type="dxa"/>
            <w:right w:w="0" w:type="dxa"/>
          </w:tblCellMar>
        </w:tblPrEx>
        <w:trPr>
          <w:trHeight w:val="542" w:hRule="atLeast"/>
          <w:jc w:val="center"/>
        </w:trPr>
        <w:tc>
          <w:tcPr>
            <w:tcW w:w="320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868906B">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调入资金</w:t>
            </w:r>
          </w:p>
        </w:tc>
        <w:tc>
          <w:tcPr>
            <w:tcW w:w="142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D84D884">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sz w:val="24"/>
                <w:lang w:val="en-US" w:eastAsia="zh-CN"/>
              </w:rPr>
              <w:t>7830</w:t>
            </w:r>
          </w:p>
        </w:tc>
        <w:tc>
          <w:tcPr>
            <w:tcW w:w="30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2F9A64A">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调出资金</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F28D752">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sz w:val="24"/>
                <w:lang w:val="en-US" w:eastAsia="zh-CN"/>
              </w:rPr>
              <w:t>48</w:t>
            </w:r>
          </w:p>
        </w:tc>
      </w:tr>
      <w:tr w14:paraId="2AA8A07E">
        <w:tblPrEx>
          <w:tblCellMar>
            <w:top w:w="0" w:type="dxa"/>
            <w:left w:w="0" w:type="dxa"/>
            <w:bottom w:w="0" w:type="dxa"/>
            <w:right w:w="0" w:type="dxa"/>
          </w:tblCellMar>
        </w:tblPrEx>
        <w:trPr>
          <w:trHeight w:val="536" w:hRule="atLeast"/>
          <w:jc w:val="center"/>
        </w:trPr>
        <w:tc>
          <w:tcPr>
            <w:tcW w:w="320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CEA022F">
            <w:pPr>
              <w:jc w:val="center"/>
              <w:rPr>
                <w:rFonts w:hint="default" w:ascii="Times New Roman" w:hAnsi="Times New Roman" w:cs="Times New Roman"/>
                <w:color w:val="auto"/>
                <w:sz w:val="24"/>
              </w:rPr>
            </w:pPr>
            <w:r>
              <w:rPr>
                <w:rFonts w:hint="default" w:ascii="Times New Roman" w:hAnsi="Times New Roman" w:cs="Times New Roman"/>
                <w:color w:val="auto"/>
                <w:sz w:val="24"/>
              </w:rPr>
              <w:t>地方政府专项债务转贷收入</w:t>
            </w:r>
          </w:p>
        </w:tc>
        <w:tc>
          <w:tcPr>
            <w:tcW w:w="142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1560E69">
            <w:pPr>
              <w:jc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sz w:val="24"/>
                <w:lang w:val="en-US" w:eastAsia="zh-CN"/>
              </w:rPr>
              <w:t>216284</w:t>
            </w:r>
          </w:p>
        </w:tc>
        <w:tc>
          <w:tcPr>
            <w:tcW w:w="30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EAF9CC8">
            <w:pPr>
              <w:widowControl/>
              <w:jc w:val="center"/>
              <w:rPr>
                <w:rFonts w:hint="default" w:ascii="Times New Roman" w:hAnsi="Times New Roman" w:cs="Times New Roman"/>
                <w:color w:val="auto"/>
                <w:sz w:val="24"/>
              </w:rPr>
            </w:pPr>
            <w:r>
              <w:rPr>
                <w:rFonts w:hint="default" w:ascii="Times New Roman" w:hAnsi="Times New Roman" w:cs="Times New Roman"/>
                <w:color w:val="auto"/>
                <w:sz w:val="24"/>
              </w:rPr>
              <w:t>地方政府专项债务还本支出</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40B6C0B">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sz w:val="24"/>
                <w:lang w:val="en-US" w:eastAsia="zh-CN"/>
              </w:rPr>
              <w:t>54384</w:t>
            </w:r>
          </w:p>
        </w:tc>
      </w:tr>
      <w:tr w14:paraId="69D03026">
        <w:tblPrEx>
          <w:tblCellMar>
            <w:top w:w="0" w:type="dxa"/>
            <w:left w:w="0" w:type="dxa"/>
            <w:bottom w:w="0" w:type="dxa"/>
            <w:right w:w="0" w:type="dxa"/>
          </w:tblCellMar>
        </w:tblPrEx>
        <w:trPr>
          <w:trHeight w:val="530" w:hRule="atLeast"/>
          <w:jc w:val="center"/>
        </w:trPr>
        <w:tc>
          <w:tcPr>
            <w:tcW w:w="320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8CEB615">
            <w:pPr>
              <w:jc w:val="center"/>
              <w:rPr>
                <w:rFonts w:hint="default" w:ascii="Times New Roman" w:hAnsi="Times New Roman" w:cs="Times New Roman"/>
                <w:color w:val="auto"/>
                <w:sz w:val="24"/>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B2603B2">
            <w:pPr>
              <w:jc w:val="center"/>
              <w:rPr>
                <w:rFonts w:hint="default" w:ascii="Times New Roman" w:hAnsi="Times New Roman" w:cs="Times New Roman"/>
                <w:color w:val="auto"/>
                <w:sz w:val="24"/>
              </w:rPr>
            </w:pPr>
          </w:p>
        </w:tc>
        <w:tc>
          <w:tcPr>
            <w:tcW w:w="30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A018E5A">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年终结余</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7E6866F">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lang w:val="en-US" w:eastAsia="zh-CN"/>
              </w:rPr>
              <w:t>1302</w:t>
            </w:r>
          </w:p>
        </w:tc>
      </w:tr>
      <w:tr w14:paraId="46DB8AE4">
        <w:tblPrEx>
          <w:tblCellMar>
            <w:top w:w="0" w:type="dxa"/>
            <w:left w:w="0" w:type="dxa"/>
            <w:bottom w:w="0" w:type="dxa"/>
            <w:right w:w="0" w:type="dxa"/>
          </w:tblCellMar>
        </w:tblPrEx>
        <w:trPr>
          <w:trHeight w:val="496" w:hRule="atLeast"/>
          <w:jc w:val="center"/>
        </w:trPr>
        <w:tc>
          <w:tcPr>
            <w:tcW w:w="320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E3BB4CC">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收 入 总 计</w:t>
            </w:r>
          </w:p>
        </w:tc>
        <w:tc>
          <w:tcPr>
            <w:tcW w:w="142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D348C75">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sz w:val="24"/>
                <w:lang w:val="en-US" w:eastAsia="zh-CN"/>
              </w:rPr>
              <w:t>227552</w:t>
            </w:r>
          </w:p>
        </w:tc>
        <w:tc>
          <w:tcPr>
            <w:tcW w:w="30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16A9AEC">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支 出 总 计</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037E6DF">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lang w:val="en-US" w:eastAsia="zh-CN"/>
              </w:rPr>
              <w:t>227552</w:t>
            </w:r>
          </w:p>
        </w:tc>
      </w:tr>
      <w:tr w14:paraId="4AC9BB7A">
        <w:tblPrEx>
          <w:tblCellMar>
            <w:top w:w="0" w:type="dxa"/>
            <w:left w:w="0" w:type="dxa"/>
            <w:bottom w:w="0" w:type="dxa"/>
            <w:right w:w="0" w:type="dxa"/>
          </w:tblCellMar>
        </w:tblPrEx>
        <w:trPr>
          <w:trHeight w:val="90" w:hRule="atLeast"/>
          <w:jc w:val="center"/>
        </w:trPr>
        <w:tc>
          <w:tcPr>
            <w:tcW w:w="9363" w:type="dxa"/>
            <w:gridSpan w:val="4"/>
            <w:tcBorders>
              <w:top w:val="nil"/>
              <w:left w:val="nil"/>
              <w:bottom w:val="nil"/>
              <w:right w:val="nil"/>
            </w:tcBorders>
            <w:noWrap/>
            <w:tcMar>
              <w:top w:w="15" w:type="dxa"/>
              <w:left w:w="15" w:type="dxa"/>
              <w:right w:w="15" w:type="dxa"/>
            </w:tcMar>
            <w:vAlign w:val="center"/>
          </w:tcPr>
          <w:p w14:paraId="0A50AA02">
            <w:pPr>
              <w:widowControl/>
              <w:textAlignment w:val="center"/>
              <w:rPr>
                <w:rFonts w:hint="default" w:ascii="Times New Roman" w:hAnsi="Times New Roman" w:eastAsia="方正小标宋简体" w:cs="Times New Roman"/>
                <w:color w:val="auto"/>
                <w:kern w:val="0"/>
                <w:sz w:val="32"/>
                <w:szCs w:val="32"/>
              </w:rPr>
            </w:pPr>
          </w:p>
          <w:p w14:paraId="056987C5">
            <w:pPr>
              <w:widowControl/>
              <w:textAlignment w:val="center"/>
              <w:rPr>
                <w:rFonts w:hint="default" w:ascii="Times New Roman" w:hAnsi="Times New Roman" w:eastAsia="方正小标宋简体" w:cs="Times New Roman"/>
                <w:color w:val="auto"/>
                <w:kern w:val="0"/>
                <w:sz w:val="32"/>
                <w:szCs w:val="32"/>
              </w:rPr>
            </w:pPr>
          </w:p>
          <w:tbl>
            <w:tblPr>
              <w:tblStyle w:val="17"/>
              <w:tblW w:w="9132" w:type="dxa"/>
              <w:tblInd w:w="0" w:type="dxa"/>
              <w:tblLayout w:type="fixed"/>
              <w:tblCellMar>
                <w:top w:w="0" w:type="dxa"/>
                <w:left w:w="0" w:type="dxa"/>
                <w:bottom w:w="0" w:type="dxa"/>
                <w:right w:w="0" w:type="dxa"/>
              </w:tblCellMar>
            </w:tblPr>
            <w:tblGrid>
              <w:gridCol w:w="3012"/>
              <w:gridCol w:w="1418"/>
              <w:gridCol w:w="3012"/>
              <w:gridCol w:w="1690"/>
            </w:tblGrid>
            <w:tr w14:paraId="20DF377A">
              <w:tblPrEx>
                <w:tblCellMar>
                  <w:top w:w="0" w:type="dxa"/>
                  <w:left w:w="0" w:type="dxa"/>
                  <w:bottom w:w="0" w:type="dxa"/>
                  <w:right w:w="0" w:type="dxa"/>
                </w:tblCellMar>
              </w:tblPrEx>
              <w:trPr>
                <w:trHeight w:val="615" w:hRule="atLeast"/>
              </w:trPr>
              <w:tc>
                <w:tcPr>
                  <w:tcW w:w="9132" w:type="dxa"/>
                  <w:gridSpan w:val="4"/>
                  <w:tcBorders>
                    <w:top w:val="nil"/>
                    <w:left w:val="nil"/>
                    <w:bottom w:val="nil"/>
                    <w:right w:val="nil"/>
                  </w:tcBorders>
                  <w:noWrap/>
                  <w:tcMar>
                    <w:top w:w="15" w:type="dxa"/>
                    <w:left w:w="15" w:type="dxa"/>
                    <w:right w:w="15" w:type="dxa"/>
                  </w:tcMar>
                  <w:vAlign w:val="center"/>
                </w:tcPr>
                <w:p w14:paraId="10F04E00">
                  <w:pPr>
                    <w:widowControl/>
                    <w:jc w:val="center"/>
                    <w:textAlignment w:val="center"/>
                    <w:rPr>
                      <w:rFonts w:hint="default" w:ascii="Times New Roman" w:hAnsi="Times New Roman" w:cs="Times New Roman"/>
                      <w:b/>
                      <w:color w:val="auto"/>
                      <w:sz w:val="28"/>
                      <w:szCs w:val="28"/>
                    </w:rPr>
                  </w:pPr>
                  <w:r>
                    <w:rPr>
                      <w:rFonts w:hint="default" w:ascii="Times New Roman" w:hAnsi="Times New Roman" w:eastAsia="方正小标宋简体" w:cs="Times New Roman"/>
                      <w:bCs/>
                      <w:color w:val="auto"/>
                      <w:kern w:val="0"/>
                      <w:sz w:val="32"/>
                      <w:szCs w:val="32"/>
                    </w:rPr>
                    <w:t>202</w:t>
                  </w:r>
                  <w:r>
                    <w:rPr>
                      <w:rFonts w:hint="default" w:ascii="Times New Roman" w:hAnsi="Times New Roman" w:eastAsia="方正小标宋简体" w:cs="Times New Roman"/>
                      <w:bCs/>
                      <w:color w:val="auto"/>
                      <w:kern w:val="0"/>
                      <w:sz w:val="32"/>
                      <w:szCs w:val="32"/>
                      <w:lang w:val="en-US" w:eastAsia="zh-CN"/>
                    </w:rPr>
                    <w:t>3</w:t>
                  </w:r>
                  <w:r>
                    <w:rPr>
                      <w:rFonts w:hint="default" w:ascii="Times New Roman" w:hAnsi="Times New Roman" w:eastAsia="方正小标宋简体" w:cs="Times New Roman"/>
                      <w:bCs/>
                      <w:color w:val="auto"/>
                      <w:kern w:val="0"/>
                      <w:sz w:val="32"/>
                      <w:szCs w:val="32"/>
                    </w:rPr>
                    <w:t>年度国有资本经营预算收支决算总表（表三）</w:t>
                  </w:r>
                </w:p>
              </w:tc>
            </w:tr>
            <w:tr w14:paraId="50BAB6FE">
              <w:tblPrEx>
                <w:tblCellMar>
                  <w:top w:w="0" w:type="dxa"/>
                  <w:left w:w="0" w:type="dxa"/>
                  <w:bottom w:w="0" w:type="dxa"/>
                  <w:right w:w="0" w:type="dxa"/>
                </w:tblCellMar>
              </w:tblPrEx>
              <w:trPr>
                <w:trHeight w:val="315" w:hRule="atLeast"/>
              </w:trPr>
              <w:tc>
                <w:tcPr>
                  <w:tcW w:w="9132" w:type="dxa"/>
                  <w:gridSpan w:val="4"/>
                  <w:tcBorders>
                    <w:top w:val="nil"/>
                    <w:left w:val="nil"/>
                    <w:bottom w:val="nil"/>
                    <w:right w:val="nil"/>
                  </w:tcBorders>
                  <w:noWrap/>
                  <w:tcMar>
                    <w:top w:w="15" w:type="dxa"/>
                    <w:left w:w="15" w:type="dxa"/>
                    <w:right w:w="15" w:type="dxa"/>
                  </w:tcMar>
                  <w:vAlign w:val="center"/>
                </w:tcPr>
                <w:p w14:paraId="2069D77F">
                  <w:pPr>
                    <w:widowControl/>
                    <w:jc w:val="right"/>
                    <w:textAlignment w:val="center"/>
                    <w:rPr>
                      <w:rFonts w:hint="default" w:ascii="Times New Roman" w:hAnsi="Times New Roman" w:cs="Times New Roman"/>
                      <w:color w:val="auto"/>
                      <w:sz w:val="22"/>
                      <w:szCs w:val="22"/>
                    </w:rPr>
                  </w:pPr>
                  <w:r>
                    <w:rPr>
                      <w:rFonts w:hint="default" w:ascii="Times New Roman" w:hAnsi="Times New Roman" w:cs="Times New Roman"/>
                      <w:color w:val="auto"/>
                      <w:kern w:val="0"/>
                      <w:sz w:val="24"/>
                    </w:rPr>
                    <w:t>单位:万元</w:t>
                  </w:r>
                </w:p>
              </w:tc>
            </w:tr>
            <w:tr w14:paraId="7C97FD1C">
              <w:tblPrEx>
                <w:tblCellMar>
                  <w:top w:w="0" w:type="dxa"/>
                  <w:left w:w="0" w:type="dxa"/>
                  <w:bottom w:w="0" w:type="dxa"/>
                  <w:right w:w="0" w:type="dxa"/>
                </w:tblCellMar>
              </w:tblPrEx>
              <w:trPr>
                <w:trHeight w:val="554" w:hRule="atLeast"/>
              </w:trPr>
              <w:tc>
                <w:tcPr>
                  <w:tcW w:w="30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D829E75">
                  <w:pPr>
                    <w:widowControl/>
                    <w:jc w:val="center"/>
                    <w:rPr>
                      <w:rFonts w:hint="default" w:ascii="Times New Roman" w:hAnsi="Times New Roman" w:cs="Times New Roman"/>
                      <w:b/>
                      <w:bCs/>
                      <w:color w:val="auto"/>
                      <w:sz w:val="24"/>
                    </w:rPr>
                  </w:pPr>
                  <w:r>
                    <w:rPr>
                      <w:rFonts w:hint="default" w:ascii="Times New Roman" w:hAnsi="Times New Roman" w:cs="Times New Roman"/>
                      <w:b/>
                      <w:bCs/>
                      <w:color w:val="auto"/>
                      <w:kern w:val="0"/>
                      <w:sz w:val="24"/>
                    </w:rPr>
                    <w:t>项目</w:t>
                  </w:r>
                </w:p>
              </w:tc>
              <w:tc>
                <w:tcPr>
                  <w:tcW w:w="14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91445CF">
                  <w:pPr>
                    <w:widowControl/>
                    <w:jc w:val="center"/>
                    <w:textAlignment w:val="center"/>
                    <w:rPr>
                      <w:rFonts w:hint="default" w:ascii="Times New Roman" w:hAnsi="Times New Roman" w:cs="Times New Roman"/>
                      <w:b/>
                      <w:bCs/>
                      <w:color w:val="auto"/>
                      <w:sz w:val="24"/>
                    </w:rPr>
                  </w:pPr>
                  <w:r>
                    <w:rPr>
                      <w:rFonts w:hint="default" w:ascii="Times New Roman" w:hAnsi="Times New Roman" w:cs="Times New Roman"/>
                      <w:b/>
                      <w:bCs/>
                      <w:color w:val="auto"/>
                      <w:kern w:val="0"/>
                      <w:sz w:val="24"/>
                    </w:rPr>
                    <w:t>决算数</w:t>
                  </w:r>
                </w:p>
              </w:tc>
              <w:tc>
                <w:tcPr>
                  <w:tcW w:w="30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91563FA">
                  <w:pPr>
                    <w:widowControl/>
                    <w:jc w:val="center"/>
                    <w:rPr>
                      <w:rFonts w:hint="default" w:ascii="Times New Roman" w:hAnsi="Times New Roman" w:cs="Times New Roman"/>
                      <w:b/>
                      <w:bCs/>
                      <w:color w:val="auto"/>
                      <w:sz w:val="24"/>
                    </w:rPr>
                  </w:pPr>
                  <w:r>
                    <w:rPr>
                      <w:rFonts w:hint="default" w:ascii="Times New Roman" w:hAnsi="Times New Roman" w:cs="Times New Roman"/>
                      <w:b/>
                      <w:bCs/>
                      <w:color w:val="auto"/>
                      <w:kern w:val="0"/>
                      <w:sz w:val="24"/>
                    </w:rPr>
                    <w:t>项目</w:t>
                  </w:r>
                </w:p>
              </w:tc>
              <w:tc>
                <w:tcPr>
                  <w:tcW w:w="16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279E29C">
                  <w:pPr>
                    <w:widowControl/>
                    <w:jc w:val="center"/>
                    <w:textAlignment w:val="center"/>
                    <w:rPr>
                      <w:rFonts w:hint="default" w:ascii="Times New Roman" w:hAnsi="Times New Roman" w:cs="Times New Roman"/>
                      <w:b/>
                      <w:bCs/>
                      <w:color w:val="auto"/>
                      <w:sz w:val="24"/>
                    </w:rPr>
                  </w:pPr>
                  <w:r>
                    <w:rPr>
                      <w:rFonts w:hint="default" w:ascii="Times New Roman" w:hAnsi="Times New Roman" w:cs="Times New Roman"/>
                      <w:b/>
                      <w:bCs/>
                      <w:color w:val="auto"/>
                      <w:kern w:val="0"/>
                      <w:sz w:val="24"/>
                    </w:rPr>
                    <w:t>决算数</w:t>
                  </w:r>
                </w:p>
              </w:tc>
            </w:tr>
            <w:tr w14:paraId="1ADB36BA">
              <w:tblPrEx>
                <w:tblCellMar>
                  <w:top w:w="0" w:type="dxa"/>
                  <w:left w:w="0" w:type="dxa"/>
                  <w:bottom w:w="0" w:type="dxa"/>
                  <w:right w:w="0" w:type="dxa"/>
                </w:tblCellMar>
              </w:tblPrEx>
              <w:trPr>
                <w:trHeight w:val="534" w:hRule="atLeast"/>
              </w:trPr>
              <w:tc>
                <w:tcPr>
                  <w:tcW w:w="30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0C9BA72">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国有资本经营预算收入</w:t>
                  </w:r>
                </w:p>
              </w:tc>
              <w:tc>
                <w:tcPr>
                  <w:tcW w:w="14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0039C0E">
                  <w:pPr>
                    <w:widowControl/>
                    <w:jc w:val="center"/>
                    <w:textAlignment w:val="center"/>
                    <w:rPr>
                      <w:rFonts w:hint="default" w:ascii="Times New Roman" w:hAnsi="Times New Roman" w:cs="Times New Roman"/>
                      <w:color w:val="auto"/>
                      <w:sz w:val="24"/>
                    </w:rPr>
                  </w:pPr>
                  <w:r>
                    <w:rPr>
                      <w:rFonts w:hint="default" w:ascii="Times New Roman" w:hAnsi="Times New Roman" w:cs="Times New Roman"/>
                      <w:color w:val="auto"/>
                      <w:kern w:val="0"/>
                      <w:sz w:val="24"/>
                    </w:rPr>
                    <w:t>2000</w:t>
                  </w:r>
                </w:p>
              </w:tc>
              <w:tc>
                <w:tcPr>
                  <w:tcW w:w="30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32F3B96">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国有资本经营预算支出</w:t>
                  </w:r>
                </w:p>
              </w:tc>
              <w:tc>
                <w:tcPr>
                  <w:tcW w:w="16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AB4AF93">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lang w:val="en-US" w:eastAsia="zh-CN"/>
                    </w:rPr>
                    <w:t>182</w:t>
                  </w:r>
                </w:p>
              </w:tc>
            </w:tr>
            <w:tr w14:paraId="70D9AF28">
              <w:tblPrEx>
                <w:tblCellMar>
                  <w:top w:w="0" w:type="dxa"/>
                  <w:left w:w="0" w:type="dxa"/>
                  <w:bottom w:w="0" w:type="dxa"/>
                  <w:right w:w="0" w:type="dxa"/>
                </w:tblCellMar>
              </w:tblPrEx>
              <w:trPr>
                <w:trHeight w:val="486" w:hRule="atLeast"/>
              </w:trPr>
              <w:tc>
                <w:tcPr>
                  <w:tcW w:w="30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2F8067D">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上级补助收入</w:t>
                  </w:r>
                </w:p>
              </w:tc>
              <w:tc>
                <w:tcPr>
                  <w:tcW w:w="14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4C9825F">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lang w:val="en-US" w:eastAsia="zh-CN"/>
                    </w:rPr>
                    <w:t>218</w:t>
                  </w:r>
                </w:p>
              </w:tc>
              <w:tc>
                <w:tcPr>
                  <w:tcW w:w="30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CAC3600">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上解上级支出</w:t>
                  </w:r>
                </w:p>
              </w:tc>
              <w:tc>
                <w:tcPr>
                  <w:tcW w:w="16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E2B4B59">
                  <w:pPr>
                    <w:widowControl/>
                    <w:jc w:val="center"/>
                    <w:textAlignment w:val="center"/>
                    <w:rPr>
                      <w:rFonts w:hint="default" w:ascii="Times New Roman" w:hAnsi="Times New Roman" w:cs="Times New Roman"/>
                      <w:color w:val="auto"/>
                      <w:sz w:val="24"/>
                    </w:rPr>
                  </w:pPr>
                </w:p>
              </w:tc>
            </w:tr>
            <w:tr w14:paraId="773AB9AD">
              <w:tblPrEx>
                <w:tblCellMar>
                  <w:top w:w="0" w:type="dxa"/>
                  <w:left w:w="0" w:type="dxa"/>
                  <w:bottom w:w="0" w:type="dxa"/>
                  <w:right w:w="0" w:type="dxa"/>
                </w:tblCellMar>
              </w:tblPrEx>
              <w:trPr>
                <w:trHeight w:val="450" w:hRule="atLeast"/>
              </w:trPr>
              <w:tc>
                <w:tcPr>
                  <w:tcW w:w="30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82C4DC4">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上年结余</w:t>
                  </w:r>
                </w:p>
              </w:tc>
              <w:tc>
                <w:tcPr>
                  <w:tcW w:w="14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9638588">
                  <w:pPr>
                    <w:widowControl/>
                    <w:jc w:val="center"/>
                    <w:textAlignment w:val="center"/>
                    <w:rPr>
                      <w:rFonts w:hint="default" w:ascii="Times New Roman" w:hAnsi="Times New Roman" w:cs="Times New Roman"/>
                      <w:color w:val="auto"/>
                      <w:sz w:val="24"/>
                    </w:rPr>
                  </w:pPr>
                </w:p>
              </w:tc>
              <w:tc>
                <w:tcPr>
                  <w:tcW w:w="30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ECF4726">
                  <w:pPr>
                    <w:jc w:val="center"/>
                    <w:rPr>
                      <w:rFonts w:hint="default" w:ascii="Times New Roman" w:hAnsi="Times New Roman" w:cs="Times New Roman"/>
                      <w:color w:val="auto"/>
                      <w:sz w:val="24"/>
                    </w:rPr>
                  </w:pPr>
                </w:p>
              </w:tc>
              <w:tc>
                <w:tcPr>
                  <w:tcW w:w="16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3DBBB7B">
                  <w:pPr>
                    <w:jc w:val="center"/>
                    <w:rPr>
                      <w:rFonts w:hint="default" w:ascii="Times New Roman" w:hAnsi="Times New Roman" w:cs="Times New Roman"/>
                      <w:color w:val="auto"/>
                      <w:sz w:val="24"/>
                    </w:rPr>
                  </w:pPr>
                </w:p>
              </w:tc>
            </w:tr>
            <w:tr w14:paraId="058E4D8B">
              <w:tblPrEx>
                <w:tblCellMar>
                  <w:top w:w="0" w:type="dxa"/>
                  <w:left w:w="0" w:type="dxa"/>
                  <w:bottom w:w="0" w:type="dxa"/>
                  <w:right w:w="0" w:type="dxa"/>
                </w:tblCellMar>
              </w:tblPrEx>
              <w:trPr>
                <w:trHeight w:val="542" w:hRule="atLeast"/>
              </w:trPr>
              <w:tc>
                <w:tcPr>
                  <w:tcW w:w="30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A632199">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调入资金</w:t>
                  </w:r>
                </w:p>
              </w:tc>
              <w:tc>
                <w:tcPr>
                  <w:tcW w:w="14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79BAD20">
                  <w:pPr>
                    <w:widowControl/>
                    <w:jc w:val="center"/>
                    <w:textAlignment w:val="center"/>
                    <w:rPr>
                      <w:rFonts w:hint="default" w:ascii="Times New Roman" w:hAnsi="Times New Roman" w:cs="Times New Roman"/>
                      <w:color w:val="auto"/>
                      <w:sz w:val="24"/>
                    </w:rPr>
                  </w:pPr>
                </w:p>
              </w:tc>
              <w:tc>
                <w:tcPr>
                  <w:tcW w:w="30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900AED7">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调出资金</w:t>
                  </w:r>
                </w:p>
              </w:tc>
              <w:tc>
                <w:tcPr>
                  <w:tcW w:w="16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23D5B5D">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rPr>
                    <w:t>2</w:t>
                  </w:r>
                  <w:r>
                    <w:rPr>
                      <w:rFonts w:hint="default" w:ascii="Times New Roman" w:hAnsi="Times New Roman" w:cs="Times New Roman"/>
                      <w:color w:val="auto"/>
                      <w:kern w:val="0"/>
                      <w:sz w:val="24"/>
                      <w:lang w:val="en-US" w:eastAsia="zh-CN"/>
                    </w:rPr>
                    <w:t>036</w:t>
                  </w:r>
                </w:p>
              </w:tc>
            </w:tr>
            <w:tr w14:paraId="31B09FF6">
              <w:tblPrEx>
                <w:tblCellMar>
                  <w:top w:w="0" w:type="dxa"/>
                  <w:left w:w="0" w:type="dxa"/>
                  <w:bottom w:w="0" w:type="dxa"/>
                  <w:right w:w="0" w:type="dxa"/>
                </w:tblCellMar>
              </w:tblPrEx>
              <w:trPr>
                <w:trHeight w:val="551" w:hRule="atLeast"/>
              </w:trPr>
              <w:tc>
                <w:tcPr>
                  <w:tcW w:w="30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C249398">
                  <w:pPr>
                    <w:jc w:val="center"/>
                    <w:rPr>
                      <w:rFonts w:hint="default" w:ascii="Times New Roman" w:hAnsi="Times New Roman" w:cs="Times New Roman"/>
                      <w:color w:val="auto"/>
                      <w:sz w:val="24"/>
                    </w:rPr>
                  </w:pPr>
                </w:p>
              </w:tc>
              <w:tc>
                <w:tcPr>
                  <w:tcW w:w="14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0154044">
                  <w:pPr>
                    <w:jc w:val="center"/>
                    <w:rPr>
                      <w:rFonts w:hint="default" w:ascii="Times New Roman" w:hAnsi="Times New Roman" w:cs="Times New Roman"/>
                      <w:color w:val="auto"/>
                      <w:sz w:val="24"/>
                    </w:rPr>
                  </w:pPr>
                </w:p>
              </w:tc>
              <w:tc>
                <w:tcPr>
                  <w:tcW w:w="30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1A22F4E">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年终结余</w:t>
                  </w:r>
                </w:p>
              </w:tc>
              <w:tc>
                <w:tcPr>
                  <w:tcW w:w="16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1094134">
                  <w:pPr>
                    <w:widowControl/>
                    <w:jc w:val="center"/>
                    <w:textAlignment w:val="center"/>
                    <w:rPr>
                      <w:rFonts w:hint="default" w:ascii="Times New Roman" w:hAnsi="Times New Roman" w:cs="Times New Roman"/>
                      <w:color w:val="auto"/>
                      <w:sz w:val="24"/>
                    </w:rPr>
                  </w:pPr>
                </w:p>
              </w:tc>
            </w:tr>
            <w:tr w14:paraId="7C218F5F">
              <w:tblPrEx>
                <w:tblCellMar>
                  <w:top w:w="0" w:type="dxa"/>
                  <w:left w:w="0" w:type="dxa"/>
                  <w:bottom w:w="0" w:type="dxa"/>
                  <w:right w:w="0" w:type="dxa"/>
                </w:tblCellMar>
              </w:tblPrEx>
              <w:trPr>
                <w:trHeight w:val="686" w:hRule="atLeast"/>
              </w:trPr>
              <w:tc>
                <w:tcPr>
                  <w:tcW w:w="30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61F2870">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收 入 总 计</w:t>
                  </w:r>
                </w:p>
              </w:tc>
              <w:tc>
                <w:tcPr>
                  <w:tcW w:w="14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41B4111">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lang w:val="en-US" w:eastAsia="zh-CN"/>
                    </w:rPr>
                    <w:t>2218</w:t>
                  </w:r>
                </w:p>
              </w:tc>
              <w:tc>
                <w:tcPr>
                  <w:tcW w:w="30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F18F31C">
                  <w:pPr>
                    <w:widowControl/>
                    <w:jc w:val="center"/>
                    <w:rPr>
                      <w:rFonts w:hint="default" w:ascii="Times New Roman" w:hAnsi="Times New Roman" w:cs="Times New Roman"/>
                      <w:color w:val="auto"/>
                      <w:sz w:val="24"/>
                    </w:rPr>
                  </w:pPr>
                  <w:r>
                    <w:rPr>
                      <w:rFonts w:hint="default" w:ascii="Times New Roman" w:hAnsi="Times New Roman" w:cs="Times New Roman"/>
                      <w:color w:val="auto"/>
                      <w:kern w:val="0"/>
                      <w:sz w:val="24"/>
                    </w:rPr>
                    <w:t>支 出 总 计</w:t>
                  </w:r>
                </w:p>
              </w:tc>
              <w:tc>
                <w:tcPr>
                  <w:tcW w:w="16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EC2B0E5">
                  <w:pPr>
                    <w:widowControl/>
                    <w:jc w:val="center"/>
                    <w:textAlignment w:val="center"/>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kern w:val="0"/>
                      <w:sz w:val="24"/>
                      <w:lang w:val="en-US" w:eastAsia="zh-CN"/>
                    </w:rPr>
                    <w:t>2218</w:t>
                  </w:r>
                </w:p>
              </w:tc>
            </w:tr>
          </w:tbl>
          <w:p w14:paraId="3396B2BF">
            <w:pPr>
              <w:spacing w:line="576" w:lineRule="exact"/>
              <w:rPr>
                <w:rFonts w:hint="default" w:ascii="Times New Roman" w:hAnsi="Times New Roman" w:cs="Times New Roman"/>
                <w:color w:val="auto"/>
                <w:kern w:val="0"/>
                <w:sz w:val="32"/>
                <w:szCs w:val="32"/>
              </w:rPr>
            </w:pPr>
          </w:p>
        </w:tc>
      </w:tr>
    </w:tbl>
    <w:p w14:paraId="0317CE62">
      <w:pPr>
        <w:spacing w:line="540" w:lineRule="exact"/>
        <w:rPr>
          <w:rFonts w:hint="default" w:ascii="Times New Roman" w:hAnsi="Times New Roman" w:eastAsia="仿宋_GB2312" w:cs="Times New Roman"/>
          <w:color w:val="auto"/>
          <w:sz w:val="32"/>
        </w:rPr>
      </w:pPr>
    </w:p>
    <w:p w14:paraId="34558AD4">
      <w:pPr>
        <w:pStyle w:val="2"/>
        <w:rPr>
          <w:rFonts w:hint="default" w:ascii="Times New Roman" w:hAnsi="Times New Roman" w:eastAsia="仿宋_GB2312" w:cs="Times New Roman"/>
          <w:color w:val="auto"/>
          <w:sz w:val="32"/>
        </w:rPr>
      </w:pPr>
    </w:p>
    <w:tbl>
      <w:tblPr>
        <w:tblStyle w:val="17"/>
        <w:tblW w:w="97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
        <w:gridCol w:w="510"/>
        <w:gridCol w:w="1666"/>
        <w:gridCol w:w="810"/>
        <w:gridCol w:w="168"/>
        <w:gridCol w:w="762"/>
        <w:gridCol w:w="248"/>
        <w:gridCol w:w="684"/>
        <w:gridCol w:w="534"/>
        <w:gridCol w:w="1086"/>
        <w:gridCol w:w="984"/>
        <w:gridCol w:w="1516"/>
        <w:gridCol w:w="363"/>
      </w:tblGrid>
      <w:tr w14:paraId="2A4E4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660" w:hRule="atLeast"/>
          <w:jc w:val="center"/>
        </w:trPr>
        <w:tc>
          <w:tcPr>
            <w:tcW w:w="9382" w:type="dxa"/>
            <w:gridSpan w:val="12"/>
            <w:tcBorders>
              <w:top w:val="nil"/>
              <w:left w:val="nil"/>
              <w:bottom w:val="nil"/>
              <w:right w:val="nil"/>
            </w:tcBorders>
            <w:shd w:val="clear" w:color="auto" w:fill="FFFFFF"/>
            <w:noWrap/>
            <w:vAlign w:val="center"/>
          </w:tcPr>
          <w:p w14:paraId="10152F6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方正小标宋简体" w:cs="Times New Roman"/>
                <w:b w:val="0"/>
                <w:bCs w:val="0"/>
                <w:i w:val="0"/>
                <w:iCs w:val="0"/>
                <w:color w:val="auto"/>
                <w:kern w:val="0"/>
                <w:sz w:val="32"/>
                <w:szCs w:val="32"/>
                <w:highlight w:val="none"/>
                <w:u w:val="none"/>
                <w:lang w:val="en-US" w:eastAsia="zh-CN" w:bidi="ar"/>
              </w:rPr>
            </w:pPr>
            <w:r>
              <w:rPr>
                <w:rFonts w:hint="default" w:ascii="Times New Roman" w:hAnsi="Times New Roman" w:eastAsia="方正小标宋简体" w:cs="Times New Roman"/>
                <w:b w:val="0"/>
                <w:bCs w:val="0"/>
                <w:i w:val="0"/>
                <w:iCs w:val="0"/>
                <w:color w:val="auto"/>
                <w:kern w:val="0"/>
                <w:sz w:val="32"/>
                <w:szCs w:val="32"/>
                <w:highlight w:val="none"/>
                <w:u w:val="none"/>
                <w:lang w:val="en-US" w:eastAsia="zh-CN" w:bidi="ar"/>
              </w:rPr>
              <w:t>杜集区2023年区本级一般公共预算支出</w:t>
            </w:r>
          </w:p>
          <w:p w14:paraId="00DB775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华文中宋" w:cs="Times New Roman"/>
                <w:b/>
                <w:bCs/>
                <w:i w:val="0"/>
                <w:iCs w:val="0"/>
                <w:color w:val="auto"/>
                <w:sz w:val="36"/>
                <w:szCs w:val="36"/>
                <w:highlight w:val="none"/>
                <w:u w:val="none"/>
              </w:rPr>
            </w:pPr>
            <w:r>
              <w:rPr>
                <w:rFonts w:hint="default" w:ascii="Times New Roman" w:hAnsi="Times New Roman" w:eastAsia="方正小标宋简体" w:cs="Times New Roman"/>
                <w:b w:val="0"/>
                <w:bCs w:val="0"/>
                <w:i w:val="0"/>
                <w:iCs w:val="0"/>
                <w:color w:val="auto"/>
                <w:kern w:val="0"/>
                <w:sz w:val="32"/>
                <w:szCs w:val="32"/>
                <w:highlight w:val="none"/>
                <w:u w:val="none"/>
                <w:lang w:val="en-US" w:eastAsia="zh-CN" w:bidi="ar"/>
              </w:rPr>
              <w:t>分科目完成情况表（表四）</w:t>
            </w:r>
          </w:p>
        </w:tc>
      </w:tr>
      <w:tr w14:paraId="7848F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45" w:hRule="atLeast"/>
          <w:jc w:val="center"/>
        </w:trPr>
        <w:tc>
          <w:tcPr>
            <w:tcW w:w="3568" w:type="dxa"/>
            <w:gridSpan w:val="5"/>
            <w:tcBorders>
              <w:top w:val="nil"/>
              <w:left w:val="nil"/>
              <w:bottom w:val="single" w:color="auto" w:sz="4" w:space="0"/>
              <w:right w:val="nil"/>
            </w:tcBorders>
            <w:shd w:val="clear" w:color="auto" w:fill="FFFFFF"/>
            <w:noWrap/>
            <w:vAlign w:val="center"/>
          </w:tcPr>
          <w:p w14:paraId="4FD80707">
            <w:pPr>
              <w:rPr>
                <w:rFonts w:hint="default" w:ascii="Times New Roman" w:hAnsi="Times New Roman" w:eastAsia="宋体" w:cs="Times New Roman"/>
                <w:i w:val="0"/>
                <w:iCs w:val="0"/>
                <w:color w:val="auto"/>
                <w:sz w:val="22"/>
                <w:szCs w:val="22"/>
                <w:highlight w:val="none"/>
                <w:u w:val="none"/>
              </w:rPr>
            </w:pPr>
          </w:p>
        </w:tc>
        <w:tc>
          <w:tcPr>
            <w:tcW w:w="1010" w:type="dxa"/>
            <w:gridSpan w:val="2"/>
            <w:tcBorders>
              <w:top w:val="nil"/>
              <w:left w:val="nil"/>
              <w:bottom w:val="single" w:color="auto" w:sz="4" w:space="0"/>
              <w:right w:val="nil"/>
            </w:tcBorders>
            <w:shd w:val="clear" w:color="auto" w:fill="FFFFFF"/>
            <w:noWrap/>
            <w:vAlign w:val="center"/>
          </w:tcPr>
          <w:p w14:paraId="0A9656AB">
            <w:pPr>
              <w:jc w:val="center"/>
              <w:rPr>
                <w:rFonts w:hint="default" w:ascii="Times New Roman" w:hAnsi="Times New Roman" w:eastAsia="宋体" w:cs="Times New Roman"/>
                <w:i w:val="0"/>
                <w:iCs w:val="0"/>
                <w:color w:val="auto"/>
                <w:sz w:val="22"/>
                <w:szCs w:val="22"/>
                <w:highlight w:val="none"/>
                <w:u w:val="none"/>
              </w:rPr>
            </w:pPr>
          </w:p>
        </w:tc>
        <w:tc>
          <w:tcPr>
            <w:tcW w:w="1218" w:type="dxa"/>
            <w:gridSpan w:val="2"/>
            <w:tcBorders>
              <w:top w:val="nil"/>
              <w:left w:val="nil"/>
              <w:bottom w:val="single" w:color="auto" w:sz="4" w:space="0"/>
              <w:right w:val="nil"/>
            </w:tcBorders>
            <w:shd w:val="clear" w:color="auto" w:fill="FFFFFF"/>
            <w:noWrap/>
            <w:vAlign w:val="center"/>
          </w:tcPr>
          <w:p w14:paraId="20B62E3E">
            <w:pPr>
              <w:jc w:val="center"/>
              <w:rPr>
                <w:rFonts w:hint="default" w:ascii="Times New Roman" w:hAnsi="Times New Roman" w:eastAsia="宋体" w:cs="Times New Roman"/>
                <w:i w:val="0"/>
                <w:iCs w:val="0"/>
                <w:color w:val="auto"/>
                <w:sz w:val="22"/>
                <w:szCs w:val="22"/>
                <w:highlight w:val="none"/>
                <w:u w:val="none"/>
              </w:rPr>
            </w:pPr>
          </w:p>
        </w:tc>
        <w:tc>
          <w:tcPr>
            <w:tcW w:w="1086" w:type="dxa"/>
            <w:tcBorders>
              <w:top w:val="nil"/>
              <w:left w:val="nil"/>
              <w:bottom w:val="single" w:color="auto" w:sz="4" w:space="0"/>
              <w:right w:val="nil"/>
            </w:tcBorders>
            <w:shd w:val="clear" w:color="auto" w:fill="auto"/>
            <w:noWrap/>
            <w:vAlign w:val="bottom"/>
          </w:tcPr>
          <w:p w14:paraId="4F6D6E5C">
            <w:pPr>
              <w:jc w:val="center"/>
              <w:rPr>
                <w:rFonts w:hint="default" w:ascii="Times New Roman" w:hAnsi="Times New Roman" w:eastAsia="宋体" w:cs="Times New Roman"/>
                <w:i w:val="0"/>
                <w:iCs w:val="0"/>
                <w:color w:val="auto"/>
                <w:sz w:val="22"/>
                <w:szCs w:val="22"/>
                <w:highlight w:val="none"/>
                <w:u w:val="none"/>
              </w:rPr>
            </w:pPr>
          </w:p>
        </w:tc>
        <w:tc>
          <w:tcPr>
            <w:tcW w:w="984" w:type="dxa"/>
            <w:tcBorders>
              <w:top w:val="nil"/>
              <w:left w:val="nil"/>
              <w:bottom w:val="single" w:color="auto" w:sz="4" w:space="0"/>
              <w:right w:val="nil"/>
            </w:tcBorders>
            <w:shd w:val="clear" w:color="auto" w:fill="FFFFFF"/>
            <w:noWrap/>
            <w:vAlign w:val="center"/>
          </w:tcPr>
          <w:p w14:paraId="7A6DDBBE">
            <w:pPr>
              <w:jc w:val="center"/>
              <w:rPr>
                <w:rFonts w:hint="default" w:ascii="Times New Roman" w:hAnsi="Times New Roman" w:eastAsia="宋体" w:cs="Times New Roman"/>
                <w:i w:val="0"/>
                <w:iCs w:val="0"/>
                <w:color w:val="auto"/>
                <w:sz w:val="22"/>
                <w:szCs w:val="22"/>
                <w:highlight w:val="none"/>
                <w:u w:val="none"/>
              </w:rPr>
            </w:pPr>
          </w:p>
        </w:tc>
        <w:tc>
          <w:tcPr>
            <w:tcW w:w="1516" w:type="dxa"/>
            <w:tcBorders>
              <w:top w:val="nil"/>
              <w:left w:val="nil"/>
              <w:bottom w:val="single" w:color="auto" w:sz="4" w:space="0"/>
              <w:right w:val="nil"/>
            </w:tcBorders>
            <w:shd w:val="clear" w:color="auto" w:fill="FFFFFF"/>
            <w:noWrap/>
            <w:vAlign w:val="center"/>
          </w:tcPr>
          <w:p w14:paraId="6C60EF1A">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单位：万元</w:t>
            </w:r>
          </w:p>
        </w:tc>
      </w:tr>
      <w:tr w14:paraId="66B90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vMerge w:val="restart"/>
            <w:tcBorders>
              <w:top w:val="single" w:color="auto" w:sz="4" w:space="0"/>
              <w:left w:val="single" w:color="auto" w:sz="4" w:space="0"/>
              <w:bottom w:val="single" w:color="auto" w:sz="4" w:space="0"/>
              <w:right w:val="single" w:color="auto" w:sz="4" w:space="0"/>
            </w:tcBorders>
            <w:noWrap w:val="0"/>
            <w:vAlign w:val="center"/>
          </w:tcPr>
          <w:p w14:paraId="06886591">
            <w:pPr>
              <w:keepNext w:val="0"/>
              <w:keepLines w:val="0"/>
              <w:widowControl/>
              <w:suppressLineNumbers w:val="0"/>
              <w:jc w:val="center"/>
              <w:textAlignment w:val="center"/>
              <w:rPr>
                <w:rFonts w:hint="default" w:ascii="Times New Roman" w:hAnsi="Times New Roman" w:eastAsia="宋体" w:cs="Times New Roman"/>
                <w:b/>
                <w:bCs/>
                <w:i w:val="0"/>
                <w:iCs w:val="0"/>
                <w:color w:val="auto"/>
                <w:sz w:val="24"/>
                <w:szCs w:val="24"/>
                <w:highlight w:val="none"/>
                <w:u w:val="none"/>
              </w:rPr>
            </w:pPr>
            <w:r>
              <w:rPr>
                <w:rFonts w:hint="default" w:ascii="Times New Roman" w:hAnsi="Times New Roman" w:eastAsia="宋体" w:cs="Times New Roman"/>
                <w:b/>
                <w:bCs/>
                <w:i w:val="0"/>
                <w:iCs w:val="0"/>
                <w:color w:val="auto"/>
                <w:kern w:val="0"/>
                <w:sz w:val="24"/>
                <w:szCs w:val="24"/>
                <w:highlight w:val="none"/>
                <w:u w:val="none"/>
                <w:lang w:val="en-US" w:eastAsia="zh-CN" w:bidi="ar"/>
              </w:rPr>
              <w:t>支   出  项  目</w:t>
            </w:r>
          </w:p>
        </w:tc>
        <w:tc>
          <w:tcPr>
            <w:tcW w:w="101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24AE7467">
            <w:pPr>
              <w:keepNext w:val="0"/>
              <w:keepLines w:val="0"/>
              <w:widowControl/>
              <w:suppressLineNumbers w:val="0"/>
              <w:jc w:val="center"/>
              <w:textAlignment w:val="center"/>
              <w:rPr>
                <w:rFonts w:hint="default" w:ascii="Times New Roman" w:hAnsi="Times New Roman" w:eastAsia="宋体" w:cs="Times New Roman"/>
                <w:b/>
                <w:bCs/>
                <w:i w:val="0"/>
                <w:iCs w:val="0"/>
                <w:color w:val="auto"/>
                <w:sz w:val="24"/>
                <w:szCs w:val="24"/>
                <w:highlight w:val="none"/>
                <w:u w:val="none"/>
              </w:rPr>
            </w:pPr>
            <w:r>
              <w:rPr>
                <w:rFonts w:hint="default" w:ascii="Times New Roman" w:hAnsi="Times New Roman" w:eastAsia="宋体" w:cs="Times New Roman"/>
                <w:b/>
                <w:bCs/>
                <w:i w:val="0"/>
                <w:iCs w:val="0"/>
                <w:color w:val="auto"/>
                <w:kern w:val="0"/>
                <w:sz w:val="24"/>
                <w:szCs w:val="24"/>
                <w:highlight w:val="none"/>
                <w:u w:val="none"/>
                <w:lang w:val="en-US" w:eastAsia="zh-CN" w:bidi="ar"/>
              </w:rPr>
              <w:t>2023年预算数</w:t>
            </w:r>
          </w:p>
        </w:tc>
        <w:tc>
          <w:tcPr>
            <w:tcW w:w="1218"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4121D706">
            <w:pPr>
              <w:keepNext w:val="0"/>
              <w:keepLines w:val="0"/>
              <w:widowControl/>
              <w:suppressLineNumbers w:val="0"/>
              <w:jc w:val="center"/>
              <w:textAlignment w:val="center"/>
              <w:rPr>
                <w:rFonts w:hint="default" w:ascii="Times New Roman" w:hAnsi="Times New Roman" w:eastAsia="宋体" w:cs="Times New Roman"/>
                <w:b/>
                <w:bCs/>
                <w:i w:val="0"/>
                <w:iCs w:val="0"/>
                <w:color w:val="auto"/>
                <w:sz w:val="24"/>
                <w:szCs w:val="24"/>
                <w:highlight w:val="none"/>
                <w:u w:val="none"/>
              </w:rPr>
            </w:pPr>
            <w:r>
              <w:rPr>
                <w:rFonts w:hint="default" w:ascii="Times New Roman" w:hAnsi="Times New Roman" w:eastAsia="宋体" w:cs="Times New Roman"/>
                <w:b/>
                <w:bCs/>
                <w:i w:val="0"/>
                <w:iCs w:val="0"/>
                <w:color w:val="auto"/>
                <w:kern w:val="0"/>
                <w:sz w:val="24"/>
                <w:szCs w:val="24"/>
                <w:highlight w:val="none"/>
                <w:u w:val="none"/>
                <w:lang w:val="en-US" w:eastAsia="zh-CN" w:bidi="ar"/>
              </w:rPr>
              <w:t>2023年调整预算数</w:t>
            </w:r>
          </w:p>
        </w:tc>
        <w:tc>
          <w:tcPr>
            <w:tcW w:w="1086" w:type="dxa"/>
            <w:vMerge w:val="restart"/>
            <w:tcBorders>
              <w:top w:val="single" w:color="auto" w:sz="4" w:space="0"/>
              <w:left w:val="single" w:color="auto" w:sz="4" w:space="0"/>
              <w:bottom w:val="single" w:color="auto" w:sz="4" w:space="0"/>
              <w:right w:val="single" w:color="auto" w:sz="4" w:space="0"/>
            </w:tcBorders>
            <w:noWrap w:val="0"/>
            <w:vAlign w:val="center"/>
          </w:tcPr>
          <w:p w14:paraId="7772BCEB">
            <w:pPr>
              <w:keepNext w:val="0"/>
              <w:keepLines w:val="0"/>
              <w:widowControl/>
              <w:suppressLineNumbers w:val="0"/>
              <w:jc w:val="center"/>
              <w:textAlignment w:val="center"/>
              <w:rPr>
                <w:rFonts w:hint="default" w:ascii="Times New Roman" w:hAnsi="Times New Roman" w:eastAsia="宋体" w:cs="Times New Roman"/>
                <w:b/>
                <w:bCs/>
                <w:i w:val="0"/>
                <w:iCs w:val="0"/>
                <w:color w:val="auto"/>
                <w:sz w:val="24"/>
                <w:szCs w:val="24"/>
                <w:highlight w:val="none"/>
                <w:u w:val="none"/>
              </w:rPr>
            </w:pPr>
            <w:r>
              <w:rPr>
                <w:rFonts w:hint="default" w:ascii="Times New Roman" w:hAnsi="Times New Roman" w:eastAsia="宋体" w:cs="Times New Roman"/>
                <w:b/>
                <w:bCs/>
                <w:i w:val="0"/>
                <w:iCs w:val="0"/>
                <w:color w:val="auto"/>
                <w:kern w:val="0"/>
                <w:sz w:val="24"/>
                <w:szCs w:val="24"/>
                <w:highlight w:val="none"/>
                <w:u w:val="none"/>
                <w:lang w:val="en-US" w:eastAsia="zh-CN" w:bidi="ar"/>
              </w:rPr>
              <w:t>2023年决算数</w:t>
            </w:r>
          </w:p>
        </w:tc>
        <w:tc>
          <w:tcPr>
            <w:tcW w:w="984" w:type="dxa"/>
            <w:vMerge w:val="restart"/>
            <w:tcBorders>
              <w:top w:val="single" w:color="auto" w:sz="4" w:space="0"/>
              <w:left w:val="single" w:color="auto" w:sz="4" w:space="0"/>
              <w:bottom w:val="single" w:color="auto" w:sz="4" w:space="0"/>
              <w:right w:val="single" w:color="auto" w:sz="4" w:space="0"/>
            </w:tcBorders>
            <w:noWrap w:val="0"/>
            <w:vAlign w:val="center"/>
          </w:tcPr>
          <w:p w14:paraId="6D4C9DA5">
            <w:pPr>
              <w:keepNext w:val="0"/>
              <w:keepLines w:val="0"/>
              <w:widowControl/>
              <w:suppressLineNumbers w:val="0"/>
              <w:jc w:val="center"/>
              <w:textAlignment w:val="center"/>
              <w:rPr>
                <w:rFonts w:hint="default" w:ascii="Times New Roman" w:hAnsi="Times New Roman" w:eastAsia="宋体" w:cs="Times New Roman"/>
                <w:b/>
                <w:bCs/>
                <w:i w:val="0"/>
                <w:iCs w:val="0"/>
                <w:color w:val="auto"/>
                <w:sz w:val="24"/>
                <w:szCs w:val="24"/>
                <w:highlight w:val="none"/>
                <w:u w:val="none"/>
              </w:rPr>
            </w:pPr>
            <w:r>
              <w:rPr>
                <w:rStyle w:val="34"/>
                <w:rFonts w:hint="default" w:ascii="Times New Roman" w:hAnsi="Times New Roman" w:eastAsia="宋体" w:cs="Times New Roman"/>
                <w:b/>
                <w:bCs/>
                <w:color w:val="auto"/>
                <w:sz w:val="24"/>
                <w:szCs w:val="24"/>
                <w:highlight w:val="none"/>
                <w:lang w:val="en-US" w:eastAsia="zh-CN" w:bidi="ar"/>
              </w:rPr>
              <w:t>为预算的</w:t>
            </w:r>
            <w:r>
              <w:rPr>
                <w:rStyle w:val="33"/>
                <w:rFonts w:hint="default" w:ascii="Times New Roman" w:hAnsi="Times New Roman" w:eastAsia="宋体" w:cs="Times New Roman"/>
                <w:b/>
                <w:bCs/>
                <w:color w:val="auto"/>
                <w:sz w:val="24"/>
                <w:szCs w:val="24"/>
                <w:highlight w:val="none"/>
                <w:lang w:val="en-US" w:eastAsia="zh-CN" w:bidi="ar"/>
              </w:rPr>
              <w:t>%</w:t>
            </w:r>
          </w:p>
        </w:tc>
        <w:tc>
          <w:tcPr>
            <w:tcW w:w="1516" w:type="dxa"/>
            <w:vMerge w:val="restart"/>
            <w:tcBorders>
              <w:top w:val="single" w:color="auto" w:sz="4" w:space="0"/>
              <w:left w:val="single" w:color="auto" w:sz="4" w:space="0"/>
              <w:bottom w:val="single" w:color="auto" w:sz="4" w:space="0"/>
              <w:right w:val="single" w:color="auto" w:sz="4" w:space="0"/>
            </w:tcBorders>
            <w:noWrap w:val="0"/>
            <w:vAlign w:val="center"/>
          </w:tcPr>
          <w:p w14:paraId="54D81AE9">
            <w:pPr>
              <w:keepNext w:val="0"/>
              <w:keepLines w:val="0"/>
              <w:widowControl/>
              <w:suppressLineNumbers w:val="0"/>
              <w:jc w:val="center"/>
              <w:textAlignment w:val="center"/>
              <w:rPr>
                <w:rFonts w:hint="default" w:ascii="Times New Roman" w:hAnsi="Times New Roman" w:eastAsia="宋体" w:cs="Times New Roman"/>
                <w:b/>
                <w:bCs/>
                <w:i w:val="0"/>
                <w:iCs w:val="0"/>
                <w:color w:val="auto"/>
                <w:sz w:val="24"/>
                <w:szCs w:val="24"/>
                <w:highlight w:val="none"/>
                <w:u w:val="none"/>
              </w:rPr>
            </w:pPr>
            <w:r>
              <w:rPr>
                <w:rFonts w:hint="default" w:ascii="Times New Roman" w:hAnsi="Times New Roman" w:eastAsia="宋体" w:cs="Times New Roman"/>
                <w:b/>
                <w:bCs/>
                <w:i w:val="0"/>
                <w:iCs w:val="0"/>
                <w:color w:val="auto"/>
                <w:kern w:val="0"/>
                <w:sz w:val="24"/>
                <w:szCs w:val="24"/>
                <w:highlight w:val="none"/>
                <w:u w:val="none"/>
                <w:lang w:val="en-US" w:eastAsia="zh-CN" w:bidi="ar"/>
              </w:rPr>
              <w:t>为上年决算的%</w:t>
            </w:r>
          </w:p>
        </w:tc>
      </w:tr>
      <w:tr w14:paraId="5AD67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vMerge w:val="continue"/>
            <w:tcBorders>
              <w:top w:val="single" w:color="auto" w:sz="4" w:space="0"/>
              <w:left w:val="single" w:color="auto" w:sz="4" w:space="0"/>
              <w:bottom w:val="single" w:color="auto" w:sz="4" w:space="0"/>
              <w:right w:val="single" w:color="auto" w:sz="4" w:space="0"/>
            </w:tcBorders>
            <w:noWrap w:val="0"/>
            <w:vAlign w:val="center"/>
          </w:tcPr>
          <w:p w14:paraId="6B60CFB7">
            <w:pPr>
              <w:jc w:val="center"/>
              <w:rPr>
                <w:rFonts w:hint="default" w:ascii="Times New Roman" w:hAnsi="Times New Roman" w:eastAsia="黑体" w:cs="Times New Roman"/>
                <w:i w:val="0"/>
                <w:iCs w:val="0"/>
                <w:color w:val="auto"/>
                <w:sz w:val="22"/>
                <w:szCs w:val="22"/>
                <w:highlight w:val="none"/>
                <w:u w:val="none"/>
              </w:rPr>
            </w:pPr>
          </w:p>
        </w:tc>
        <w:tc>
          <w:tcPr>
            <w:tcW w:w="101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E8913FC">
            <w:pPr>
              <w:jc w:val="center"/>
              <w:rPr>
                <w:rFonts w:hint="default" w:ascii="Times New Roman" w:hAnsi="Times New Roman" w:eastAsia="黑体" w:cs="Times New Roman"/>
                <w:i w:val="0"/>
                <w:iCs w:val="0"/>
                <w:color w:val="auto"/>
                <w:sz w:val="20"/>
                <w:szCs w:val="20"/>
                <w:highlight w:val="none"/>
                <w:u w:val="none"/>
              </w:rPr>
            </w:pPr>
          </w:p>
        </w:tc>
        <w:tc>
          <w:tcPr>
            <w:tcW w:w="121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D35C82D">
            <w:pPr>
              <w:jc w:val="center"/>
              <w:rPr>
                <w:rFonts w:hint="default" w:ascii="Times New Roman" w:hAnsi="Times New Roman" w:eastAsia="黑体" w:cs="Times New Roman"/>
                <w:i w:val="0"/>
                <w:iCs w:val="0"/>
                <w:color w:val="auto"/>
                <w:sz w:val="20"/>
                <w:szCs w:val="20"/>
                <w:highlight w:val="none"/>
                <w:u w:val="none"/>
              </w:rPr>
            </w:pPr>
          </w:p>
        </w:tc>
        <w:tc>
          <w:tcPr>
            <w:tcW w:w="1086" w:type="dxa"/>
            <w:vMerge w:val="continue"/>
            <w:tcBorders>
              <w:top w:val="single" w:color="auto" w:sz="4" w:space="0"/>
              <w:left w:val="single" w:color="auto" w:sz="4" w:space="0"/>
              <w:bottom w:val="single" w:color="auto" w:sz="4" w:space="0"/>
              <w:right w:val="single" w:color="auto" w:sz="4" w:space="0"/>
            </w:tcBorders>
            <w:noWrap w:val="0"/>
            <w:vAlign w:val="center"/>
          </w:tcPr>
          <w:p w14:paraId="28680F99">
            <w:pPr>
              <w:jc w:val="center"/>
              <w:rPr>
                <w:rFonts w:hint="default" w:ascii="Times New Roman" w:hAnsi="Times New Roman" w:eastAsia="黑体" w:cs="Times New Roman"/>
                <w:i w:val="0"/>
                <w:iCs w:val="0"/>
                <w:color w:val="auto"/>
                <w:sz w:val="20"/>
                <w:szCs w:val="20"/>
                <w:highlight w:val="none"/>
                <w:u w:val="none"/>
              </w:rPr>
            </w:pPr>
          </w:p>
        </w:tc>
        <w:tc>
          <w:tcPr>
            <w:tcW w:w="984" w:type="dxa"/>
            <w:vMerge w:val="continue"/>
            <w:tcBorders>
              <w:top w:val="single" w:color="auto" w:sz="4" w:space="0"/>
              <w:left w:val="single" w:color="auto" w:sz="4" w:space="0"/>
              <w:bottom w:val="single" w:color="auto" w:sz="4" w:space="0"/>
              <w:right w:val="single" w:color="auto" w:sz="4" w:space="0"/>
            </w:tcBorders>
            <w:noWrap w:val="0"/>
            <w:vAlign w:val="center"/>
          </w:tcPr>
          <w:p w14:paraId="25D3070E">
            <w:pPr>
              <w:jc w:val="center"/>
              <w:rPr>
                <w:rFonts w:hint="default" w:ascii="Times New Roman" w:hAnsi="Times New Roman" w:eastAsia="黑体" w:cs="Times New Roman"/>
                <w:i w:val="0"/>
                <w:iCs w:val="0"/>
                <w:color w:val="auto"/>
                <w:sz w:val="20"/>
                <w:szCs w:val="20"/>
                <w:highlight w:val="none"/>
                <w:u w:val="none"/>
              </w:rPr>
            </w:pPr>
          </w:p>
        </w:tc>
        <w:tc>
          <w:tcPr>
            <w:tcW w:w="1516" w:type="dxa"/>
            <w:vMerge w:val="continue"/>
            <w:tcBorders>
              <w:top w:val="single" w:color="auto" w:sz="4" w:space="0"/>
              <w:left w:val="single" w:color="auto" w:sz="4" w:space="0"/>
              <w:bottom w:val="single" w:color="auto" w:sz="4" w:space="0"/>
              <w:right w:val="single" w:color="auto" w:sz="4" w:space="0"/>
            </w:tcBorders>
            <w:noWrap w:val="0"/>
            <w:vAlign w:val="center"/>
          </w:tcPr>
          <w:p w14:paraId="503A4A5E">
            <w:pPr>
              <w:jc w:val="center"/>
              <w:rPr>
                <w:rFonts w:hint="default" w:ascii="Times New Roman" w:hAnsi="Times New Roman" w:eastAsia="黑体" w:cs="Times New Roman"/>
                <w:i w:val="0"/>
                <w:iCs w:val="0"/>
                <w:color w:val="auto"/>
                <w:sz w:val="20"/>
                <w:szCs w:val="20"/>
                <w:highlight w:val="none"/>
                <w:u w:val="none"/>
              </w:rPr>
            </w:pPr>
          </w:p>
        </w:tc>
      </w:tr>
      <w:tr w14:paraId="2513B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28E6D59D">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一、一般公共服务支出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1BF2D0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eastAsia" w:ascii="Times New Roman" w:hAnsi="Times New Roman" w:eastAsia="宋体" w:cs="Times New Roman"/>
                <w:i w:val="0"/>
                <w:iCs w:val="0"/>
                <w:color w:val="auto"/>
                <w:sz w:val="21"/>
                <w:szCs w:val="21"/>
                <w:highlight w:val="none"/>
                <w:u w:val="none"/>
                <w:lang w:val="en-US" w:eastAsia="zh-CN"/>
              </w:rPr>
              <w:t xml:space="preserve">10059 </w:t>
            </w: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7CD13D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8434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5F8BB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8406 </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C3EF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99.7%</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123E821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104.2%</w:t>
            </w:r>
          </w:p>
        </w:tc>
      </w:tr>
      <w:tr w14:paraId="04682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1DA4792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二、国防支出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AABB63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F3106B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C2AE5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2EF6A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01D3047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r>
      <w:tr w14:paraId="16D63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35FD04A2">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三、公共安全支出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262EE6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eastAsia" w:ascii="Times New Roman" w:hAnsi="Times New Roman" w:eastAsia="宋体" w:cs="Times New Roman"/>
                <w:i w:val="0"/>
                <w:iCs w:val="0"/>
                <w:color w:val="auto"/>
                <w:sz w:val="21"/>
                <w:szCs w:val="21"/>
                <w:highlight w:val="none"/>
                <w:u w:val="none"/>
                <w:lang w:val="en-US" w:eastAsia="zh-CN"/>
              </w:rPr>
              <w:t xml:space="preserve">4701 </w:t>
            </w: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807995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4510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8FAA5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4133 </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6B875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91.6%</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6302C59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98.0%</w:t>
            </w:r>
          </w:p>
        </w:tc>
      </w:tr>
      <w:tr w14:paraId="77905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2715BA2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四、教育支出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FF5A1D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eastAsia" w:ascii="Times New Roman" w:hAnsi="Times New Roman" w:eastAsia="宋体" w:cs="Times New Roman"/>
                <w:i w:val="0"/>
                <w:iCs w:val="0"/>
                <w:color w:val="auto"/>
                <w:sz w:val="21"/>
                <w:szCs w:val="21"/>
                <w:highlight w:val="none"/>
                <w:u w:val="none"/>
                <w:lang w:val="en-US" w:eastAsia="zh-CN"/>
              </w:rPr>
              <w:t xml:space="preserve">34275 </w:t>
            </w: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EA164E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47197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F57FD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46892 </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E088E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99.4%</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30C763B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107.3%</w:t>
            </w:r>
          </w:p>
        </w:tc>
      </w:tr>
      <w:tr w14:paraId="1619C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29D21959">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五、科学技术支出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E4A6D9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eastAsia" w:ascii="Times New Roman" w:hAnsi="Times New Roman" w:eastAsia="宋体" w:cs="Times New Roman"/>
                <w:i w:val="0"/>
                <w:iCs w:val="0"/>
                <w:color w:val="auto"/>
                <w:sz w:val="21"/>
                <w:szCs w:val="21"/>
                <w:highlight w:val="none"/>
                <w:u w:val="none"/>
                <w:lang w:val="en-US" w:eastAsia="zh-CN"/>
              </w:rPr>
              <w:t xml:space="preserve">3591 </w:t>
            </w: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E863C7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3381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3AD2E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3276 </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69FDE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96.9%</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78AFAD1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97.6%</w:t>
            </w:r>
          </w:p>
        </w:tc>
      </w:tr>
      <w:tr w14:paraId="4DBFF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0F9B46AE">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六、文化旅游体育与传媒支出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FD8CCA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eastAsia" w:ascii="Times New Roman" w:hAnsi="Times New Roman" w:eastAsia="宋体" w:cs="Times New Roman"/>
                <w:i w:val="0"/>
                <w:iCs w:val="0"/>
                <w:color w:val="auto"/>
                <w:sz w:val="21"/>
                <w:szCs w:val="21"/>
                <w:highlight w:val="none"/>
                <w:u w:val="none"/>
                <w:lang w:val="en-US" w:eastAsia="zh-CN"/>
              </w:rPr>
              <w:t xml:space="preserve">382 </w:t>
            </w: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B42D9C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675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692DE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675 </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50803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100.0%</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39E7FF8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159.2%</w:t>
            </w:r>
          </w:p>
        </w:tc>
      </w:tr>
      <w:tr w14:paraId="44E65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1D391B26">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七、社会保障和就业支出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0A90F6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eastAsia" w:ascii="Times New Roman" w:hAnsi="Times New Roman" w:eastAsia="宋体" w:cs="Times New Roman"/>
                <w:i w:val="0"/>
                <w:iCs w:val="0"/>
                <w:color w:val="auto"/>
                <w:sz w:val="21"/>
                <w:szCs w:val="21"/>
                <w:highlight w:val="none"/>
                <w:u w:val="none"/>
                <w:lang w:val="en-US" w:eastAsia="zh-CN"/>
              </w:rPr>
              <w:t xml:space="preserve">28866 </w:t>
            </w: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B195A9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21059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A44E5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21037 </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44F28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99.9%</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44B8859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91.7%</w:t>
            </w:r>
          </w:p>
        </w:tc>
      </w:tr>
      <w:tr w14:paraId="11A1A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37F14F36">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八、卫生健康支出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D2CBA3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rPr>
            </w:pPr>
            <w:r>
              <w:rPr>
                <w:rFonts w:hint="eastAsia" w:ascii="Times New Roman" w:hAnsi="Times New Roman" w:eastAsia="宋体" w:cs="Times New Roman"/>
                <w:i w:val="0"/>
                <w:iCs w:val="0"/>
                <w:color w:val="auto"/>
                <w:sz w:val="21"/>
                <w:szCs w:val="21"/>
                <w:highlight w:val="none"/>
                <w:u w:val="none"/>
                <w:lang w:val="en-US" w:eastAsia="zh-CN"/>
              </w:rPr>
              <w:t xml:space="preserve">10416 </w:t>
            </w: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423EBF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12418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DC8C8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11992 </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7526E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96.6%</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18BD82D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95.5%</w:t>
            </w:r>
          </w:p>
        </w:tc>
      </w:tr>
      <w:tr w14:paraId="03256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506F5BD2">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九、节能环保支出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08764F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eastAsia" w:ascii="Times New Roman" w:hAnsi="Times New Roman" w:eastAsia="宋体" w:cs="Times New Roman"/>
                <w:i w:val="0"/>
                <w:iCs w:val="0"/>
                <w:color w:val="auto"/>
                <w:sz w:val="21"/>
                <w:szCs w:val="21"/>
                <w:highlight w:val="none"/>
                <w:u w:val="none"/>
                <w:lang w:val="en-US" w:eastAsia="zh-CN"/>
              </w:rPr>
              <w:t xml:space="preserve">270 </w:t>
            </w: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293D87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729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0505E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729 </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77694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100.0%</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01720B2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72.2%</w:t>
            </w:r>
          </w:p>
        </w:tc>
      </w:tr>
      <w:tr w14:paraId="38609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5B99DA66">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十、城乡社区支出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369215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eastAsia" w:ascii="Times New Roman" w:hAnsi="Times New Roman" w:eastAsia="宋体" w:cs="Times New Roman"/>
                <w:i w:val="0"/>
                <w:iCs w:val="0"/>
                <w:color w:val="auto"/>
                <w:sz w:val="21"/>
                <w:szCs w:val="21"/>
                <w:highlight w:val="none"/>
                <w:u w:val="none"/>
                <w:lang w:val="en-US" w:eastAsia="zh-CN"/>
              </w:rPr>
              <w:t xml:space="preserve">4672 </w:t>
            </w: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D4ACA9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39298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F1A28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39183 </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05317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99.7%</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187FDC0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83.5%</w:t>
            </w:r>
          </w:p>
        </w:tc>
      </w:tr>
      <w:tr w14:paraId="22239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4EBC6517">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十一、农林水支出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7DCFDB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rPr>
            </w:pPr>
            <w:r>
              <w:rPr>
                <w:rFonts w:hint="eastAsia" w:ascii="Times New Roman" w:hAnsi="Times New Roman" w:eastAsia="宋体" w:cs="Times New Roman"/>
                <w:i w:val="0"/>
                <w:iCs w:val="0"/>
                <w:color w:val="auto"/>
                <w:sz w:val="21"/>
                <w:szCs w:val="21"/>
                <w:highlight w:val="none"/>
                <w:u w:val="none"/>
                <w:lang w:val="en-US" w:eastAsia="zh-CN"/>
              </w:rPr>
              <w:t xml:space="preserve">8247 </w:t>
            </w: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99F3F4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9839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37190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8703 </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C89D2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88.5%</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1ABDCB8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96.2%</w:t>
            </w:r>
          </w:p>
        </w:tc>
      </w:tr>
      <w:tr w14:paraId="20410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258F9EF8">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十二、交通运输支出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76FECE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eastAsia" w:ascii="Times New Roman" w:hAnsi="Times New Roman" w:eastAsia="宋体" w:cs="Times New Roman"/>
                <w:i w:val="0"/>
                <w:iCs w:val="0"/>
                <w:color w:val="auto"/>
                <w:sz w:val="21"/>
                <w:szCs w:val="21"/>
                <w:highlight w:val="none"/>
                <w:u w:val="none"/>
                <w:lang w:val="en-US" w:eastAsia="zh-CN"/>
              </w:rPr>
              <w:t xml:space="preserve">38 </w:t>
            </w: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BC5B95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690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073D0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606 </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05133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87.8%</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7432736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283.2%</w:t>
            </w:r>
          </w:p>
        </w:tc>
      </w:tr>
      <w:tr w14:paraId="3F0A5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4ADD2DFE">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十三、资源勘探工业信息等支出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E740C1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eastAsia" w:ascii="Times New Roman" w:hAnsi="Times New Roman" w:eastAsia="宋体" w:cs="Times New Roman"/>
                <w:i w:val="0"/>
                <w:iCs w:val="0"/>
                <w:color w:val="auto"/>
                <w:sz w:val="21"/>
                <w:szCs w:val="21"/>
                <w:highlight w:val="none"/>
                <w:u w:val="none"/>
                <w:lang w:val="en-US" w:eastAsia="zh-CN"/>
              </w:rPr>
              <w:t xml:space="preserve">109 </w:t>
            </w: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7535D3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77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A45DB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77 </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96419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100.0%</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33A9B46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15.1%</w:t>
            </w:r>
          </w:p>
        </w:tc>
      </w:tr>
      <w:tr w14:paraId="4F38E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428E10F9">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十四、商业服务业等支出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B13A22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37BC82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33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3A596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33 </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93F67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100.0%</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522F924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14.3%</w:t>
            </w:r>
          </w:p>
        </w:tc>
      </w:tr>
      <w:tr w14:paraId="3FCAA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71175010">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十五、金融支出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74BE63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30F389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49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695D1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49 </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54358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100.0%</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CFDEAD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188.5%</w:t>
            </w:r>
          </w:p>
        </w:tc>
      </w:tr>
      <w:tr w14:paraId="3C61B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5C423471">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十六、援助其他地区支出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CDC812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AD485B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3A728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3E103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496B0C3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r>
      <w:tr w14:paraId="33673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496E47C7">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十七、自然资源海洋气象等支出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EB96B9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509D63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100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27E33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94382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1208E71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r>
      <w:tr w14:paraId="6B174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157A81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十八、住房保障支出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9480AF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rPr>
            </w:pPr>
            <w:r>
              <w:rPr>
                <w:rFonts w:hint="eastAsia" w:ascii="Times New Roman" w:hAnsi="Times New Roman" w:eastAsia="宋体" w:cs="Times New Roman"/>
                <w:i w:val="0"/>
                <w:iCs w:val="0"/>
                <w:color w:val="auto"/>
                <w:sz w:val="21"/>
                <w:szCs w:val="21"/>
                <w:highlight w:val="none"/>
                <w:u w:val="none"/>
                <w:lang w:val="en-US" w:eastAsia="zh-CN"/>
              </w:rPr>
              <w:t xml:space="preserve">7989 </w:t>
            </w: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372E9B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14211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A4C93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13848 </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419C5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97.4%</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6093C78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134.8%</w:t>
            </w:r>
          </w:p>
        </w:tc>
      </w:tr>
      <w:tr w14:paraId="2A428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4FAEF3FE">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十九、粮油物资储备支出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D5C480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22561E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579D6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EB5C3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3B02F01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r>
      <w:tr w14:paraId="5E654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0D51E2E2">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二十、灾害防治及应急管理支出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3C543E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rPr>
            </w:pPr>
            <w:r>
              <w:rPr>
                <w:rFonts w:hint="eastAsia" w:ascii="Times New Roman" w:hAnsi="Times New Roman" w:eastAsia="宋体" w:cs="Times New Roman"/>
                <w:i w:val="0"/>
                <w:iCs w:val="0"/>
                <w:color w:val="auto"/>
                <w:sz w:val="21"/>
                <w:szCs w:val="21"/>
                <w:highlight w:val="none"/>
                <w:u w:val="none"/>
                <w:lang w:val="en-US" w:eastAsia="zh-CN"/>
              </w:rPr>
              <w:t xml:space="preserve">873 </w:t>
            </w: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3570AC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852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ACD8D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852 </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96485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100.0%</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5C0D6C3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82.4%</w:t>
            </w:r>
          </w:p>
        </w:tc>
      </w:tr>
      <w:tr w14:paraId="6E5AE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0286E7B2">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二十一、预备费</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DB0E62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CCF96A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E5371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DA10C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1F9E2FE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r>
      <w:tr w14:paraId="54C4D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0D57957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二十二、其他支出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059C99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rPr>
            </w:pPr>
            <w:r>
              <w:rPr>
                <w:rFonts w:hint="eastAsia" w:ascii="Times New Roman" w:hAnsi="Times New Roman" w:eastAsia="宋体" w:cs="Times New Roman"/>
                <w:i w:val="0"/>
                <w:iCs w:val="0"/>
                <w:color w:val="auto"/>
                <w:sz w:val="21"/>
                <w:szCs w:val="21"/>
                <w:highlight w:val="none"/>
                <w:u w:val="none"/>
                <w:lang w:val="en-US" w:eastAsia="zh-CN"/>
              </w:rPr>
              <w:t xml:space="preserve">3472 </w:t>
            </w: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78C0C7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3033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EBD41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3033 </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BA18E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100.0%</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422A7D0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p>
        </w:tc>
      </w:tr>
      <w:tr w14:paraId="32046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42D3A79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二十三、债务付息支出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9B8998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rPr>
            </w:pPr>
            <w:r>
              <w:rPr>
                <w:rFonts w:hint="eastAsia" w:ascii="Times New Roman" w:hAnsi="Times New Roman" w:eastAsia="宋体" w:cs="Times New Roman"/>
                <w:i w:val="0"/>
                <w:iCs w:val="0"/>
                <w:color w:val="auto"/>
                <w:sz w:val="21"/>
                <w:szCs w:val="21"/>
                <w:highlight w:val="none"/>
                <w:u w:val="none"/>
                <w:lang w:val="en-US" w:eastAsia="zh-CN"/>
              </w:rPr>
              <w:t xml:space="preserve">2790 </w:t>
            </w: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6D03A7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2790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5A000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2790 </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8F1DE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100.0%</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7A2723F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99.2%</w:t>
            </w:r>
          </w:p>
        </w:tc>
      </w:tr>
      <w:tr w14:paraId="4C1CF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3A6B09B1">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二十四、债务发行费用支出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F08680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80A45C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17 </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09F98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 xml:space="preserve">17 </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3B80B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100.0%</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304B8D9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sz w:val="21"/>
                <w:szCs w:val="21"/>
                <w:highlight w:val="none"/>
                <w:u w:val="none"/>
                <w:lang w:val="en-US" w:eastAsia="zh-CN"/>
              </w:rPr>
              <w:t>850.0%</w:t>
            </w:r>
          </w:p>
        </w:tc>
      </w:tr>
      <w:tr w14:paraId="642AF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3" w:type="dxa"/>
          <w:trHeight w:val="397" w:hRule="atLeast"/>
          <w:jc w:val="center"/>
        </w:trPr>
        <w:tc>
          <w:tcPr>
            <w:tcW w:w="3568" w:type="dxa"/>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73613890">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一般公共预算支出</w:t>
            </w:r>
          </w:p>
        </w:tc>
        <w:tc>
          <w:tcPr>
            <w:tcW w:w="101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A5D1ABA">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highlight w:val="none"/>
                <w:u w:val="none"/>
                <w:lang w:val="en-US"/>
              </w:rPr>
            </w:pPr>
            <w:r>
              <w:rPr>
                <w:rFonts w:hint="eastAsia" w:ascii="Times New Roman" w:hAnsi="Times New Roman" w:cs="Times New Roman"/>
                <w:b/>
                <w:bCs/>
                <w:i w:val="0"/>
                <w:iCs w:val="0"/>
                <w:color w:val="auto"/>
                <w:kern w:val="0"/>
                <w:sz w:val="21"/>
                <w:szCs w:val="21"/>
                <w:highlight w:val="none"/>
                <w:u w:val="none"/>
                <w:lang w:val="en-US" w:eastAsia="zh-CN" w:bidi="ar"/>
              </w:rPr>
              <w:t>120750</w:t>
            </w:r>
          </w:p>
        </w:tc>
        <w:tc>
          <w:tcPr>
            <w:tcW w:w="12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0890E26">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highlight w:val="none"/>
                <w:u w:val="none"/>
                <w:lang w:val="en-US"/>
              </w:rPr>
            </w:pPr>
            <w:r>
              <w:rPr>
                <w:rFonts w:hint="default" w:ascii="Times New Roman" w:hAnsi="Times New Roman" w:eastAsia="宋体" w:cs="Times New Roman"/>
                <w:b/>
                <w:bCs/>
                <w:i w:val="0"/>
                <w:iCs w:val="0"/>
                <w:color w:val="auto"/>
                <w:kern w:val="0"/>
                <w:sz w:val="21"/>
                <w:szCs w:val="21"/>
                <w:highlight w:val="none"/>
                <w:u w:val="none"/>
                <w:lang w:val="en-US" w:eastAsia="zh-CN" w:bidi="ar"/>
              </w:rPr>
              <w:t>169392</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148CD2">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highlight w:val="none"/>
                <w:u w:val="none"/>
                <w:lang w:val="en-US"/>
              </w:rPr>
            </w:pPr>
            <w:r>
              <w:rPr>
                <w:rFonts w:hint="default" w:ascii="Times New Roman" w:hAnsi="Times New Roman" w:eastAsia="宋体" w:cs="Times New Roman"/>
                <w:b/>
                <w:bCs/>
                <w:i w:val="0"/>
                <w:iCs w:val="0"/>
                <w:color w:val="auto"/>
                <w:kern w:val="0"/>
                <w:sz w:val="21"/>
                <w:szCs w:val="21"/>
                <w:highlight w:val="none"/>
                <w:u w:val="none"/>
                <w:lang w:val="en-US" w:eastAsia="zh-CN" w:bidi="ar"/>
              </w:rPr>
              <w:t>166331</w:t>
            </w:r>
          </w:p>
        </w:tc>
        <w:tc>
          <w:tcPr>
            <w:tcW w:w="9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A5982B">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98.2%</w:t>
            </w:r>
          </w:p>
        </w:tc>
        <w:tc>
          <w:tcPr>
            <w:tcW w:w="1516"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3808F932">
            <w:pPr>
              <w:keepNext w:val="0"/>
              <w:keepLines w:val="0"/>
              <w:widowControl/>
              <w:suppressLineNumbers w:val="0"/>
              <w:jc w:val="center"/>
              <w:textAlignment w:val="bottom"/>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99.2%</w:t>
            </w:r>
          </w:p>
        </w:tc>
      </w:tr>
      <w:tr w14:paraId="35A42C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617" w:hRule="atLeast"/>
          <w:jc w:val="center"/>
        </w:trPr>
        <w:tc>
          <w:tcPr>
            <w:tcW w:w="9331" w:type="dxa"/>
            <w:gridSpan w:val="12"/>
            <w:tcBorders>
              <w:top w:val="nil"/>
              <w:left w:val="nil"/>
              <w:bottom w:val="nil"/>
              <w:right w:val="nil"/>
            </w:tcBorders>
            <w:noWrap/>
            <w:tcMar>
              <w:top w:w="15" w:type="dxa"/>
              <w:left w:w="15" w:type="dxa"/>
              <w:right w:w="15" w:type="dxa"/>
            </w:tcMar>
            <w:vAlign w:val="center"/>
          </w:tcPr>
          <w:p w14:paraId="71A92E84">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方正小标宋简体" w:cs="Times New Roman"/>
                <w:color w:val="auto"/>
                <w:kern w:val="0"/>
                <w:sz w:val="32"/>
                <w:szCs w:val="32"/>
                <w:highlight w:val="none"/>
                <w:lang w:bidi="ar"/>
              </w:rPr>
            </w:pPr>
            <w:r>
              <w:rPr>
                <w:rFonts w:hint="default" w:ascii="Times New Roman" w:hAnsi="Times New Roman" w:eastAsia="方正小标宋简体" w:cs="Times New Roman"/>
                <w:color w:val="auto"/>
                <w:kern w:val="0"/>
                <w:sz w:val="32"/>
                <w:szCs w:val="32"/>
                <w:highlight w:val="none"/>
                <w:lang w:bidi="ar"/>
              </w:rPr>
              <w:t>202</w:t>
            </w:r>
            <w:r>
              <w:rPr>
                <w:rFonts w:hint="default" w:ascii="Times New Roman" w:hAnsi="Times New Roman" w:eastAsia="方正小标宋简体" w:cs="Times New Roman"/>
                <w:color w:val="auto"/>
                <w:kern w:val="0"/>
                <w:sz w:val="32"/>
                <w:szCs w:val="32"/>
                <w:highlight w:val="none"/>
                <w:lang w:val="en-US" w:eastAsia="zh-CN" w:bidi="ar"/>
              </w:rPr>
              <w:t>4</w:t>
            </w:r>
            <w:r>
              <w:rPr>
                <w:rFonts w:hint="default" w:ascii="Times New Roman" w:hAnsi="Times New Roman" w:eastAsia="方正小标宋简体" w:cs="Times New Roman"/>
                <w:color w:val="auto"/>
                <w:kern w:val="0"/>
                <w:sz w:val="32"/>
                <w:szCs w:val="32"/>
                <w:highlight w:val="none"/>
                <w:lang w:bidi="ar"/>
              </w:rPr>
              <w:t>年上半年区本级一般公共预算支出</w:t>
            </w:r>
          </w:p>
          <w:p w14:paraId="42A3E0A5">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方正小标宋简体" w:cs="Times New Roman"/>
                <w:color w:val="auto"/>
                <w:kern w:val="0"/>
                <w:sz w:val="32"/>
                <w:szCs w:val="32"/>
                <w:highlight w:val="none"/>
                <w:lang w:bidi="ar"/>
              </w:rPr>
            </w:pPr>
            <w:r>
              <w:rPr>
                <w:rFonts w:hint="default" w:ascii="Times New Roman" w:hAnsi="Times New Roman" w:eastAsia="方正小标宋简体" w:cs="Times New Roman"/>
                <w:color w:val="auto"/>
                <w:kern w:val="0"/>
                <w:sz w:val="32"/>
                <w:szCs w:val="32"/>
                <w:highlight w:val="none"/>
                <w:lang w:bidi="ar"/>
              </w:rPr>
              <w:t>分科目完成情况表（表五）</w:t>
            </w:r>
          </w:p>
          <w:p w14:paraId="7ECD9064">
            <w:pPr>
              <w:widowControl/>
              <w:jc w:val="right"/>
              <w:textAlignment w:val="center"/>
              <w:rPr>
                <w:rFonts w:hint="default" w:ascii="Times New Roman" w:hAnsi="Times New Roman" w:cs="Times New Roman"/>
                <w:color w:val="auto"/>
                <w:kern w:val="0"/>
                <w:sz w:val="32"/>
                <w:szCs w:val="32"/>
                <w:highlight w:val="none"/>
                <w:lang w:bidi="ar"/>
              </w:rPr>
            </w:pPr>
            <w:r>
              <w:rPr>
                <w:rFonts w:hint="default" w:ascii="Times New Roman" w:hAnsi="Times New Roman" w:cs="Times New Roman"/>
                <w:color w:val="auto"/>
                <w:kern w:val="0"/>
                <w:sz w:val="32"/>
                <w:szCs w:val="32"/>
                <w:highlight w:val="none"/>
                <w:lang w:bidi="ar"/>
              </w:rPr>
              <w:t>　　　　　　　</w:t>
            </w:r>
            <w:r>
              <w:rPr>
                <w:rFonts w:hint="default" w:ascii="Times New Roman" w:hAnsi="Times New Roman" w:cs="Times New Roman"/>
                <w:color w:val="auto"/>
                <w:kern w:val="0"/>
                <w:sz w:val="24"/>
                <w:highlight w:val="none"/>
                <w:lang w:bidi="ar"/>
              </w:rPr>
              <w:t>　　　　　　　　　　　　　　　　　　　单位：万元</w:t>
            </w:r>
          </w:p>
        </w:tc>
      </w:tr>
      <w:tr w14:paraId="585CB5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690" w:hRule="atLeast"/>
          <w:jc w:val="center"/>
        </w:trPr>
        <w:tc>
          <w:tcPr>
            <w:tcW w:w="51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76CA8031">
            <w:pPr>
              <w:widowControl/>
              <w:spacing w:line="0" w:lineRule="atLeast"/>
              <w:jc w:val="center"/>
              <w:textAlignment w:val="center"/>
              <w:rPr>
                <w:rFonts w:hint="default" w:ascii="Times New Roman" w:hAnsi="Times New Roman" w:cs="Times New Roman"/>
                <w:b/>
                <w:bCs/>
                <w:color w:val="auto"/>
                <w:sz w:val="22"/>
                <w:szCs w:val="22"/>
                <w:highlight w:val="none"/>
              </w:rPr>
            </w:pPr>
            <w:r>
              <w:rPr>
                <w:rFonts w:hint="default" w:ascii="Times New Roman" w:hAnsi="Times New Roman" w:cs="Times New Roman"/>
                <w:b/>
                <w:bCs/>
                <w:color w:val="auto"/>
                <w:kern w:val="0"/>
                <w:sz w:val="22"/>
                <w:szCs w:val="22"/>
                <w:highlight w:val="none"/>
                <w:lang w:bidi="ar"/>
              </w:rPr>
              <w:t>序号</w:t>
            </w:r>
          </w:p>
        </w:tc>
        <w:tc>
          <w:tcPr>
            <w:tcW w:w="1666" w:type="dxa"/>
            <w:tcBorders>
              <w:top w:val="single" w:color="auto" w:sz="4" w:space="0"/>
              <w:left w:val="nil"/>
              <w:bottom w:val="single" w:color="auto" w:sz="4" w:space="0"/>
              <w:right w:val="single" w:color="auto" w:sz="4" w:space="0"/>
            </w:tcBorders>
            <w:noWrap/>
            <w:tcMar>
              <w:top w:w="15" w:type="dxa"/>
              <w:left w:w="15" w:type="dxa"/>
              <w:right w:w="15" w:type="dxa"/>
            </w:tcMar>
            <w:vAlign w:val="center"/>
          </w:tcPr>
          <w:p w14:paraId="3F99B4A1">
            <w:pPr>
              <w:widowControl/>
              <w:spacing w:line="0" w:lineRule="atLeast"/>
              <w:jc w:val="center"/>
              <w:textAlignment w:val="center"/>
              <w:rPr>
                <w:rFonts w:hint="default" w:ascii="Times New Roman" w:hAnsi="Times New Roman" w:cs="Times New Roman"/>
                <w:b/>
                <w:bCs/>
                <w:color w:val="auto"/>
                <w:sz w:val="22"/>
                <w:szCs w:val="22"/>
                <w:highlight w:val="none"/>
              </w:rPr>
            </w:pPr>
            <w:r>
              <w:rPr>
                <w:rFonts w:hint="default" w:ascii="Times New Roman" w:hAnsi="Times New Roman" w:cs="Times New Roman"/>
                <w:b/>
                <w:bCs/>
                <w:color w:val="auto"/>
                <w:kern w:val="0"/>
                <w:sz w:val="22"/>
                <w:szCs w:val="22"/>
                <w:highlight w:val="none"/>
                <w:lang w:bidi="ar"/>
              </w:rPr>
              <w:t>科目</w:t>
            </w:r>
          </w:p>
        </w:tc>
        <w:tc>
          <w:tcPr>
            <w:tcW w:w="810" w:type="dxa"/>
            <w:tcBorders>
              <w:top w:val="single" w:color="auto" w:sz="4" w:space="0"/>
              <w:left w:val="nil"/>
              <w:bottom w:val="single" w:color="auto" w:sz="4" w:space="0"/>
              <w:right w:val="single" w:color="auto" w:sz="4" w:space="0"/>
            </w:tcBorders>
            <w:noWrap/>
            <w:tcMar>
              <w:top w:w="15" w:type="dxa"/>
              <w:left w:w="15" w:type="dxa"/>
              <w:right w:w="15" w:type="dxa"/>
            </w:tcMar>
            <w:vAlign w:val="center"/>
          </w:tcPr>
          <w:p w14:paraId="27DF15EC">
            <w:pPr>
              <w:widowControl/>
              <w:spacing w:line="0" w:lineRule="atLeast"/>
              <w:jc w:val="center"/>
              <w:textAlignment w:val="center"/>
              <w:rPr>
                <w:rFonts w:hint="default" w:ascii="Times New Roman" w:hAnsi="Times New Roman" w:cs="Times New Roman"/>
                <w:b/>
                <w:bCs/>
                <w:color w:val="auto"/>
                <w:sz w:val="22"/>
                <w:szCs w:val="22"/>
                <w:highlight w:val="none"/>
              </w:rPr>
            </w:pPr>
            <w:r>
              <w:rPr>
                <w:rFonts w:hint="default" w:ascii="Times New Roman" w:hAnsi="Times New Roman" w:cs="Times New Roman"/>
                <w:b/>
                <w:bCs/>
                <w:color w:val="auto"/>
                <w:kern w:val="0"/>
                <w:sz w:val="22"/>
                <w:szCs w:val="22"/>
                <w:highlight w:val="none"/>
                <w:lang w:bidi="ar"/>
              </w:rPr>
              <w:t>金额</w:t>
            </w:r>
          </w:p>
        </w:tc>
        <w:tc>
          <w:tcPr>
            <w:tcW w:w="930" w:type="dxa"/>
            <w:gridSpan w:val="2"/>
            <w:tcBorders>
              <w:top w:val="single" w:color="auto" w:sz="4" w:space="0"/>
              <w:left w:val="nil"/>
              <w:bottom w:val="single" w:color="auto" w:sz="4" w:space="0"/>
              <w:right w:val="single" w:color="auto" w:sz="4" w:space="0"/>
            </w:tcBorders>
            <w:noWrap/>
            <w:tcMar>
              <w:top w:w="15" w:type="dxa"/>
              <w:left w:w="15" w:type="dxa"/>
              <w:right w:w="15" w:type="dxa"/>
            </w:tcMar>
            <w:vAlign w:val="center"/>
          </w:tcPr>
          <w:p w14:paraId="54C9CF6D">
            <w:pPr>
              <w:widowControl/>
              <w:spacing w:line="0" w:lineRule="atLeast"/>
              <w:jc w:val="center"/>
              <w:textAlignment w:val="center"/>
              <w:rPr>
                <w:rFonts w:hint="default" w:ascii="Times New Roman" w:hAnsi="Times New Roman" w:cs="Times New Roman"/>
                <w:b/>
                <w:bCs/>
                <w:color w:val="auto"/>
                <w:sz w:val="22"/>
                <w:szCs w:val="22"/>
                <w:highlight w:val="none"/>
              </w:rPr>
            </w:pPr>
            <w:r>
              <w:rPr>
                <w:rFonts w:hint="default" w:ascii="Times New Roman" w:hAnsi="Times New Roman" w:cs="Times New Roman"/>
                <w:b/>
                <w:bCs/>
                <w:color w:val="auto"/>
                <w:kern w:val="0"/>
                <w:sz w:val="22"/>
                <w:szCs w:val="22"/>
                <w:highlight w:val="none"/>
                <w:lang w:bidi="ar"/>
              </w:rPr>
              <w:t>增减情况</w:t>
            </w:r>
          </w:p>
        </w:tc>
        <w:tc>
          <w:tcPr>
            <w:tcW w:w="932" w:type="dxa"/>
            <w:gridSpan w:val="2"/>
            <w:tcBorders>
              <w:top w:val="single" w:color="auto" w:sz="4" w:space="0"/>
              <w:left w:val="nil"/>
              <w:bottom w:val="single" w:color="auto" w:sz="4" w:space="0"/>
              <w:right w:val="single" w:color="auto" w:sz="4" w:space="0"/>
            </w:tcBorders>
            <w:noWrap/>
            <w:tcMar>
              <w:top w:w="15" w:type="dxa"/>
              <w:left w:w="15" w:type="dxa"/>
              <w:right w:w="15" w:type="dxa"/>
            </w:tcMar>
            <w:vAlign w:val="center"/>
          </w:tcPr>
          <w:p w14:paraId="2B320245">
            <w:pPr>
              <w:widowControl/>
              <w:spacing w:line="0" w:lineRule="atLeast"/>
              <w:jc w:val="center"/>
              <w:textAlignment w:val="center"/>
              <w:rPr>
                <w:rFonts w:hint="default" w:ascii="Times New Roman" w:hAnsi="Times New Roman" w:cs="Times New Roman"/>
                <w:b/>
                <w:bCs/>
                <w:color w:val="auto"/>
                <w:sz w:val="22"/>
                <w:szCs w:val="22"/>
                <w:highlight w:val="none"/>
              </w:rPr>
            </w:pPr>
            <w:r>
              <w:rPr>
                <w:rFonts w:hint="default" w:ascii="Times New Roman" w:hAnsi="Times New Roman" w:cs="Times New Roman"/>
                <w:b/>
                <w:bCs/>
                <w:color w:val="auto"/>
                <w:kern w:val="0"/>
                <w:sz w:val="22"/>
                <w:szCs w:val="22"/>
                <w:highlight w:val="none"/>
                <w:lang w:bidi="ar"/>
              </w:rPr>
              <w:t>增减比例</w:t>
            </w:r>
          </w:p>
        </w:tc>
        <w:tc>
          <w:tcPr>
            <w:tcW w:w="4483" w:type="dxa"/>
            <w:gridSpan w:val="5"/>
            <w:tcBorders>
              <w:top w:val="single" w:color="auto" w:sz="4" w:space="0"/>
              <w:left w:val="nil"/>
              <w:bottom w:val="single" w:color="auto" w:sz="4" w:space="0"/>
              <w:right w:val="single" w:color="auto" w:sz="4" w:space="0"/>
            </w:tcBorders>
            <w:noWrap/>
            <w:tcMar>
              <w:top w:w="15" w:type="dxa"/>
              <w:left w:w="15" w:type="dxa"/>
              <w:right w:w="15" w:type="dxa"/>
            </w:tcMar>
            <w:vAlign w:val="center"/>
          </w:tcPr>
          <w:p w14:paraId="1C3BF376">
            <w:pPr>
              <w:widowControl/>
              <w:spacing w:line="0" w:lineRule="atLeast"/>
              <w:jc w:val="center"/>
              <w:textAlignment w:val="center"/>
              <w:rPr>
                <w:rFonts w:hint="default" w:ascii="Times New Roman" w:hAnsi="Times New Roman" w:cs="Times New Roman"/>
                <w:b/>
                <w:bCs/>
                <w:color w:val="auto"/>
                <w:sz w:val="22"/>
                <w:szCs w:val="22"/>
                <w:highlight w:val="none"/>
              </w:rPr>
            </w:pPr>
            <w:r>
              <w:rPr>
                <w:rFonts w:hint="default" w:ascii="Times New Roman" w:hAnsi="Times New Roman" w:cs="Times New Roman"/>
                <w:b/>
                <w:bCs/>
                <w:color w:val="auto"/>
                <w:kern w:val="0"/>
                <w:sz w:val="22"/>
                <w:szCs w:val="22"/>
                <w:highlight w:val="none"/>
                <w:lang w:bidi="ar"/>
              </w:rPr>
              <w:t>增减变化的主要原因</w:t>
            </w:r>
          </w:p>
        </w:tc>
      </w:tr>
      <w:tr w14:paraId="01D8C8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493" w:hRule="atLeast"/>
          <w:jc w:val="center"/>
        </w:trPr>
        <w:tc>
          <w:tcPr>
            <w:tcW w:w="510"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44247AC3">
            <w:pPr>
              <w:widowControl/>
              <w:spacing w:line="0" w:lineRule="atLeast"/>
              <w:jc w:val="center"/>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1</w:t>
            </w:r>
          </w:p>
        </w:tc>
        <w:tc>
          <w:tcPr>
            <w:tcW w:w="1666" w:type="dxa"/>
            <w:tcBorders>
              <w:top w:val="nil"/>
              <w:left w:val="nil"/>
              <w:bottom w:val="single" w:color="auto" w:sz="4" w:space="0"/>
              <w:right w:val="single" w:color="auto" w:sz="4" w:space="0"/>
            </w:tcBorders>
            <w:noWrap w:val="0"/>
            <w:tcMar>
              <w:top w:w="15" w:type="dxa"/>
              <w:left w:w="15" w:type="dxa"/>
              <w:right w:w="15" w:type="dxa"/>
            </w:tcMar>
            <w:vAlign w:val="center"/>
          </w:tcPr>
          <w:p w14:paraId="67C31F8D">
            <w:pPr>
              <w:widowControl/>
              <w:spacing w:line="0" w:lineRule="atLeast"/>
              <w:jc w:val="left"/>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一般公共服务</w:t>
            </w:r>
          </w:p>
        </w:tc>
        <w:tc>
          <w:tcPr>
            <w:tcW w:w="810" w:type="dxa"/>
            <w:tcBorders>
              <w:top w:val="nil"/>
              <w:left w:val="nil"/>
              <w:bottom w:val="single" w:color="auto" w:sz="4" w:space="0"/>
              <w:right w:val="single" w:color="auto" w:sz="4" w:space="0"/>
            </w:tcBorders>
            <w:noWrap/>
            <w:tcMar>
              <w:top w:w="15" w:type="dxa"/>
              <w:left w:w="15" w:type="dxa"/>
              <w:right w:w="15" w:type="dxa"/>
            </w:tcMar>
            <w:vAlign w:val="center"/>
          </w:tcPr>
          <w:p w14:paraId="13DF3C7B">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3590</w:t>
            </w:r>
          </w:p>
        </w:tc>
        <w:tc>
          <w:tcPr>
            <w:tcW w:w="930" w:type="dxa"/>
            <w:gridSpan w:val="2"/>
            <w:tcBorders>
              <w:top w:val="nil"/>
              <w:left w:val="nil"/>
              <w:bottom w:val="single" w:color="auto" w:sz="4" w:space="0"/>
              <w:right w:val="single" w:color="auto" w:sz="4" w:space="0"/>
            </w:tcBorders>
            <w:noWrap/>
            <w:tcMar>
              <w:top w:w="15" w:type="dxa"/>
              <w:left w:w="15" w:type="dxa"/>
              <w:right w:w="15" w:type="dxa"/>
            </w:tcMar>
            <w:vAlign w:val="center"/>
          </w:tcPr>
          <w:p w14:paraId="3DB83DD5">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101</w:t>
            </w:r>
          </w:p>
        </w:tc>
        <w:tc>
          <w:tcPr>
            <w:tcW w:w="932" w:type="dxa"/>
            <w:gridSpan w:val="2"/>
            <w:tcBorders>
              <w:top w:val="nil"/>
              <w:left w:val="nil"/>
              <w:bottom w:val="single" w:color="auto" w:sz="4" w:space="0"/>
              <w:right w:val="single" w:color="auto" w:sz="4" w:space="0"/>
            </w:tcBorders>
            <w:noWrap/>
            <w:tcMar>
              <w:top w:w="15" w:type="dxa"/>
              <w:left w:w="15" w:type="dxa"/>
              <w:right w:w="15" w:type="dxa"/>
            </w:tcMar>
            <w:vAlign w:val="center"/>
          </w:tcPr>
          <w:p w14:paraId="6A2ED80E">
            <w:pPr>
              <w:keepNext w:val="0"/>
              <w:keepLines w:val="0"/>
              <w:widowControl/>
              <w:suppressLineNumbers w:val="0"/>
              <w:jc w:val="center"/>
              <w:textAlignment w:val="center"/>
              <w:rPr>
                <w:rFonts w:hint="default" w:ascii="Times New Roman" w:hAnsi="Times New Roman" w:cs="Times New Roman"/>
                <w:color w:val="auto"/>
                <w:sz w:val="22"/>
                <w:szCs w:val="22"/>
                <w:highlight w:val="none"/>
              </w:rPr>
            </w:pPr>
            <w:r>
              <w:rPr>
                <w:rFonts w:hint="default" w:ascii="Times New Roman" w:hAnsi="Times New Roman" w:eastAsia="宋体" w:cs="Times New Roman"/>
                <w:i w:val="0"/>
                <w:iCs w:val="0"/>
                <w:color w:val="auto"/>
                <w:kern w:val="0"/>
                <w:sz w:val="22"/>
                <w:szCs w:val="22"/>
                <w:u w:val="none"/>
                <w:lang w:val="en-US" w:eastAsia="zh-CN" w:bidi="ar"/>
              </w:rPr>
              <w:t>2.9%</w:t>
            </w:r>
          </w:p>
        </w:tc>
        <w:tc>
          <w:tcPr>
            <w:tcW w:w="4483" w:type="dxa"/>
            <w:gridSpan w:val="5"/>
            <w:tcBorders>
              <w:top w:val="nil"/>
              <w:left w:val="nil"/>
              <w:bottom w:val="single" w:color="auto" w:sz="4" w:space="0"/>
              <w:right w:val="single" w:color="auto" w:sz="4" w:space="0"/>
            </w:tcBorders>
            <w:noWrap w:val="0"/>
            <w:tcMar>
              <w:top w:w="15" w:type="dxa"/>
              <w:left w:w="15" w:type="dxa"/>
              <w:right w:w="15" w:type="dxa"/>
            </w:tcMar>
            <w:vAlign w:val="center"/>
          </w:tcPr>
          <w:p w14:paraId="07A657D4">
            <w:pPr>
              <w:widowControl/>
              <w:spacing w:line="0" w:lineRule="atLeast"/>
              <w:jc w:val="left"/>
              <w:textAlignment w:val="center"/>
              <w:rPr>
                <w:rFonts w:hint="default" w:ascii="Times New Roman" w:hAnsi="Times New Roman" w:eastAsia="宋体" w:cs="Times New Roman"/>
                <w:color w:val="auto"/>
                <w:sz w:val="22"/>
                <w:szCs w:val="22"/>
                <w:highlight w:val="none"/>
                <w:lang w:eastAsia="zh-CN"/>
              </w:rPr>
            </w:pPr>
          </w:p>
        </w:tc>
      </w:tr>
      <w:tr w14:paraId="7AC761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425" w:hRule="atLeast"/>
          <w:jc w:val="center"/>
        </w:trPr>
        <w:tc>
          <w:tcPr>
            <w:tcW w:w="510"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583A08BE">
            <w:pPr>
              <w:widowControl/>
              <w:spacing w:line="0" w:lineRule="atLeast"/>
              <w:jc w:val="center"/>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2</w:t>
            </w:r>
          </w:p>
        </w:tc>
        <w:tc>
          <w:tcPr>
            <w:tcW w:w="1666" w:type="dxa"/>
            <w:tcBorders>
              <w:top w:val="nil"/>
              <w:left w:val="nil"/>
              <w:bottom w:val="single" w:color="auto" w:sz="4" w:space="0"/>
              <w:right w:val="single" w:color="auto" w:sz="4" w:space="0"/>
            </w:tcBorders>
            <w:noWrap w:val="0"/>
            <w:tcMar>
              <w:top w:w="15" w:type="dxa"/>
              <w:left w:w="15" w:type="dxa"/>
              <w:right w:w="15" w:type="dxa"/>
            </w:tcMar>
            <w:vAlign w:val="center"/>
          </w:tcPr>
          <w:p w14:paraId="5CDCB5EA">
            <w:pPr>
              <w:widowControl/>
              <w:spacing w:line="0" w:lineRule="atLeast"/>
              <w:jc w:val="left"/>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公共安全</w:t>
            </w:r>
          </w:p>
        </w:tc>
        <w:tc>
          <w:tcPr>
            <w:tcW w:w="810" w:type="dxa"/>
            <w:tcBorders>
              <w:top w:val="nil"/>
              <w:left w:val="nil"/>
              <w:bottom w:val="single" w:color="auto" w:sz="4" w:space="0"/>
              <w:right w:val="single" w:color="auto" w:sz="4" w:space="0"/>
            </w:tcBorders>
            <w:noWrap/>
            <w:tcMar>
              <w:top w:w="15" w:type="dxa"/>
              <w:left w:w="15" w:type="dxa"/>
              <w:right w:w="15" w:type="dxa"/>
            </w:tcMar>
            <w:vAlign w:val="center"/>
          </w:tcPr>
          <w:p w14:paraId="7EC294EA">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378</w:t>
            </w:r>
          </w:p>
        </w:tc>
        <w:tc>
          <w:tcPr>
            <w:tcW w:w="930" w:type="dxa"/>
            <w:gridSpan w:val="2"/>
            <w:tcBorders>
              <w:top w:val="nil"/>
              <w:left w:val="nil"/>
              <w:bottom w:val="single" w:color="auto" w:sz="4" w:space="0"/>
              <w:right w:val="single" w:color="auto" w:sz="4" w:space="0"/>
            </w:tcBorders>
            <w:noWrap/>
            <w:tcMar>
              <w:top w:w="15" w:type="dxa"/>
              <w:left w:w="15" w:type="dxa"/>
              <w:right w:w="15" w:type="dxa"/>
            </w:tcMar>
            <w:vAlign w:val="center"/>
          </w:tcPr>
          <w:p w14:paraId="4FAC708C">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eastAsia="zh-CN"/>
              </w:rPr>
            </w:pPr>
            <w:r>
              <w:rPr>
                <w:rFonts w:hint="default" w:ascii="Times New Roman" w:hAnsi="Times New Roman" w:eastAsia="宋体" w:cs="Times New Roman"/>
                <w:i w:val="0"/>
                <w:iCs w:val="0"/>
                <w:color w:val="auto"/>
                <w:kern w:val="0"/>
                <w:sz w:val="24"/>
                <w:szCs w:val="24"/>
                <w:u w:val="none"/>
                <w:lang w:val="en-US" w:eastAsia="zh-CN" w:bidi="ar"/>
              </w:rPr>
              <w:t>-1519</w:t>
            </w:r>
          </w:p>
        </w:tc>
        <w:tc>
          <w:tcPr>
            <w:tcW w:w="932" w:type="dxa"/>
            <w:gridSpan w:val="2"/>
            <w:tcBorders>
              <w:top w:val="nil"/>
              <w:left w:val="nil"/>
              <w:bottom w:val="single" w:color="auto" w:sz="4" w:space="0"/>
              <w:right w:val="single" w:color="auto" w:sz="4" w:space="0"/>
            </w:tcBorders>
            <w:noWrap/>
            <w:tcMar>
              <w:top w:w="15" w:type="dxa"/>
              <w:left w:w="15" w:type="dxa"/>
              <w:right w:w="15" w:type="dxa"/>
            </w:tcMar>
            <w:vAlign w:val="center"/>
          </w:tcPr>
          <w:p w14:paraId="1F989708">
            <w:pPr>
              <w:keepNext w:val="0"/>
              <w:keepLines w:val="0"/>
              <w:widowControl/>
              <w:suppressLineNumbers w:val="0"/>
              <w:jc w:val="center"/>
              <w:textAlignment w:val="center"/>
              <w:rPr>
                <w:rFonts w:hint="default" w:ascii="Times New Roman" w:hAnsi="Times New Roman" w:cs="Times New Roman"/>
                <w:color w:val="auto"/>
                <w:sz w:val="22"/>
                <w:szCs w:val="22"/>
                <w:highlight w:val="none"/>
              </w:rPr>
            </w:pPr>
            <w:r>
              <w:rPr>
                <w:rFonts w:hint="default" w:ascii="Times New Roman" w:hAnsi="Times New Roman" w:eastAsia="宋体" w:cs="Times New Roman"/>
                <w:i w:val="0"/>
                <w:iCs w:val="0"/>
                <w:color w:val="auto"/>
                <w:kern w:val="0"/>
                <w:sz w:val="22"/>
                <w:szCs w:val="22"/>
                <w:u w:val="none"/>
                <w:lang w:val="en-US" w:eastAsia="zh-CN" w:bidi="ar"/>
              </w:rPr>
              <w:t>-80.1%</w:t>
            </w:r>
          </w:p>
        </w:tc>
        <w:tc>
          <w:tcPr>
            <w:tcW w:w="4483" w:type="dxa"/>
            <w:gridSpan w:val="5"/>
            <w:tcBorders>
              <w:top w:val="nil"/>
              <w:left w:val="nil"/>
              <w:bottom w:val="single" w:color="auto" w:sz="4" w:space="0"/>
              <w:right w:val="single" w:color="auto" w:sz="4" w:space="0"/>
            </w:tcBorders>
            <w:noWrap w:val="0"/>
            <w:tcMar>
              <w:top w:w="15" w:type="dxa"/>
              <w:left w:w="15" w:type="dxa"/>
              <w:right w:w="15" w:type="dxa"/>
            </w:tcMar>
            <w:vAlign w:val="center"/>
          </w:tcPr>
          <w:p w14:paraId="21CD650E">
            <w:pPr>
              <w:widowControl/>
              <w:spacing w:line="0" w:lineRule="atLeast"/>
              <w:jc w:val="left"/>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sz w:val="22"/>
                <w:szCs w:val="22"/>
                <w:highlight w:val="none"/>
              </w:rPr>
              <w:t>机构改革后，法院和检察院经费由市级负担</w:t>
            </w:r>
          </w:p>
        </w:tc>
      </w:tr>
      <w:tr w14:paraId="1EE557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425" w:hRule="atLeast"/>
          <w:jc w:val="center"/>
        </w:trPr>
        <w:tc>
          <w:tcPr>
            <w:tcW w:w="510"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31A8332A">
            <w:pPr>
              <w:widowControl/>
              <w:spacing w:line="0" w:lineRule="atLeast"/>
              <w:jc w:val="center"/>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3</w:t>
            </w:r>
          </w:p>
        </w:tc>
        <w:tc>
          <w:tcPr>
            <w:tcW w:w="1666" w:type="dxa"/>
            <w:tcBorders>
              <w:top w:val="nil"/>
              <w:left w:val="nil"/>
              <w:bottom w:val="single" w:color="auto" w:sz="4" w:space="0"/>
              <w:right w:val="single" w:color="auto" w:sz="4" w:space="0"/>
            </w:tcBorders>
            <w:noWrap w:val="0"/>
            <w:tcMar>
              <w:top w:w="15" w:type="dxa"/>
              <w:left w:w="15" w:type="dxa"/>
              <w:right w:w="15" w:type="dxa"/>
            </w:tcMar>
            <w:vAlign w:val="center"/>
          </w:tcPr>
          <w:p w14:paraId="0F3009BE">
            <w:pPr>
              <w:widowControl/>
              <w:spacing w:line="0" w:lineRule="atLeast"/>
              <w:jc w:val="left"/>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教育</w:t>
            </w:r>
          </w:p>
        </w:tc>
        <w:tc>
          <w:tcPr>
            <w:tcW w:w="810" w:type="dxa"/>
            <w:tcBorders>
              <w:top w:val="nil"/>
              <w:left w:val="nil"/>
              <w:bottom w:val="single" w:color="auto" w:sz="4" w:space="0"/>
              <w:right w:val="single" w:color="auto" w:sz="4" w:space="0"/>
            </w:tcBorders>
            <w:noWrap/>
            <w:tcMar>
              <w:top w:w="15" w:type="dxa"/>
              <w:left w:w="15" w:type="dxa"/>
              <w:right w:w="15" w:type="dxa"/>
            </w:tcMar>
            <w:vAlign w:val="center"/>
          </w:tcPr>
          <w:p w14:paraId="78413D1B">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23496</w:t>
            </w:r>
          </w:p>
        </w:tc>
        <w:tc>
          <w:tcPr>
            <w:tcW w:w="930" w:type="dxa"/>
            <w:gridSpan w:val="2"/>
            <w:tcBorders>
              <w:top w:val="nil"/>
              <w:left w:val="nil"/>
              <w:bottom w:val="single" w:color="auto" w:sz="4" w:space="0"/>
              <w:right w:val="single" w:color="auto" w:sz="4" w:space="0"/>
            </w:tcBorders>
            <w:noWrap/>
            <w:tcMar>
              <w:top w:w="15" w:type="dxa"/>
              <w:left w:w="15" w:type="dxa"/>
              <w:right w:w="15" w:type="dxa"/>
            </w:tcMar>
            <w:vAlign w:val="center"/>
          </w:tcPr>
          <w:p w14:paraId="00B74776">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1126</w:t>
            </w:r>
          </w:p>
        </w:tc>
        <w:tc>
          <w:tcPr>
            <w:tcW w:w="932" w:type="dxa"/>
            <w:gridSpan w:val="2"/>
            <w:tcBorders>
              <w:top w:val="nil"/>
              <w:left w:val="nil"/>
              <w:bottom w:val="single" w:color="auto" w:sz="4" w:space="0"/>
              <w:right w:val="single" w:color="auto" w:sz="4" w:space="0"/>
            </w:tcBorders>
            <w:noWrap/>
            <w:tcMar>
              <w:top w:w="15" w:type="dxa"/>
              <w:left w:w="15" w:type="dxa"/>
              <w:right w:w="15" w:type="dxa"/>
            </w:tcMar>
            <w:vAlign w:val="center"/>
          </w:tcPr>
          <w:p w14:paraId="31128E4C">
            <w:pPr>
              <w:keepNext w:val="0"/>
              <w:keepLines w:val="0"/>
              <w:widowControl/>
              <w:suppressLineNumbers w:val="0"/>
              <w:jc w:val="center"/>
              <w:textAlignment w:val="center"/>
              <w:rPr>
                <w:rFonts w:hint="default" w:ascii="Times New Roman" w:hAnsi="Times New Roman" w:cs="Times New Roman"/>
                <w:color w:val="auto"/>
                <w:sz w:val="22"/>
                <w:szCs w:val="22"/>
                <w:highlight w:val="none"/>
              </w:rPr>
            </w:pPr>
            <w:r>
              <w:rPr>
                <w:rFonts w:hint="default" w:ascii="Times New Roman" w:hAnsi="Times New Roman" w:eastAsia="宋体" w:cs="Times New Roman"/>
                <w:i w:val="0"/>
                <w:iCs w:val="0"/>
                <w:color w:val="auto"/>
                <w:kern w:val="0"/>
                <w:sz w:val="22"/>
                <w:szCs w:val="22"/>
                <w:u w:val="none"/>
                <w:lang w:val="en-US" w:eastAsia="zh-CN" w:bidi="ar"/>
              </w:rPr>
              <w:t>5.0%</w:t>
            </w:r>
          </w:p>
        </w:tc>
        <w:tc>
          <w:tcPr>
            <w:tcW w:w="4483" w:type="dxa"/>
            <w:gridSpan w:val="5"/>
            <w:tcBorders>
              <w:top w:val="nil"/>
              <w:left w:val="nil"/>
              <w:bottom w:val="single" w:color="auto" w:sz="4" w:space="0"/>
              <w:right w:val="single" w:color="auto" w:sz="4" w:space="0"/>
            </w:tcBorders>
            <w:noWrap w:val="0"/>
            <w:tcMar>
              <w:top w:w="15" w:type="dxa"/>
              <w:left w:w="15" w:type="dxa"/>
              <w:right w:w="15" w:type="dxa"/>
            </w:tcMar>
            <w:vAlign w:val="center"/>
          </w:tcPr>
          <w:p w14:paraId="225671BA">
            <w:pPr>
              <w:widowControl/>
              <w:spacing w:line="0" w:lineRule="atLeast"/>
              <w:jc w:val="left"/>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color w:val="auto"/>
                <w:sz w:val="22"/>
                <w:szCs w:val="22"/>
                <w:highlight w:val="none"/>
                <w:lang w:val="en-US" w:eastAsia="zh-CN"/>
              </w:rPr>
              <w:t>拨付高岳中心校九年一贯制学校和龙湖一贯制学校建设工程资金</w:t>
            </w:r>
          </w:p>
        </w:tc>
      </w:tr>
      <w:tr w14:paraId="6E2436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530" w:hRule="atLeast"/>
          <w:jc w:val="center"/>
        </w:trPr>
        <w:tc>
          <w:tcPr>
            <w:tcW w:w="510"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3EFBEF6A">
            <w:pPr>
              <w:widowControl/>
              <w:spacing w:line="0" w:lineRule="atLeast"/>
              <w:jc w:val="center"/>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4</w:t>
            </w:r>
          </w:p>
        </w:tc>
        <w:tc>
          <w:tcPr>
            <w:tcW w:w="1666" w:type="dxa"/>
            <w:tcBorders>
              <w:top w:val="nil"/>
              <w:left w:val="nil"/>
              <w:bottom w:val="single" w:color="auto" w:sz="4" w:space="0"/>
              <w:right w:val="single" w:color="auto" w:sz="4" w:space="0"/>
            </w:tcBorders>
            <w:noWrap w:val="0"/>
            <w:tcMar>
              <w:top w:w="15" w:type="dxa"/>
              <w:left w:w="15" w:type="dxa"/>
              <w:right w:w="15" w:type="dxa"/>
            </w:tcMar>
            <w:vAlign w:val="center"/>
          </w:tcPr>
          <w:p w14:paraId="6FE45413">
            <w:pPr>
              <w:widowControl/>
              <w:spacing w:line="0" w:lineRule="atLeast"/>
              <w:jc w:val="left"/>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科学技术</w:t>
            </w:r>
          </w:p>
        </w:tc>
        <w:tc>
          <w:tcPr>
            <w:tcW w:w="810" w:type="dxa"/>
            <w:tcBorders>
              <w:top w:val="nil"/>
              <w:left w:val="nil"/>
              <w:bottom w:val="single" w:color="auto" w:sz="4" w:space="0"/>
              <w:right w:val="single" w:color="auto" w:sz="4" w:space="0"/>
            </w:tcBorders>
            <w:noWrap/>
            <w:tcMar>
              <w:top w:w="15" w:type="dxa"/>
              <w:left w:w="15" w:type="dxa"/>
              <w:right w:w="15" w:type="dxa"/>
            </w:tcMar>
            <w:vAlign w:val="center"/>
          </w:tcPr>
          <w:p w14:paraId="59248A4C">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376</w:t>
            </w:r>
          </w:p>
        </w:tc>
        <w:tc>
          <w:tcPr>
            <w:tcW w:w="930" w:type="dxa"/>
            <w:gridSpan w:val="2"/>
            <w:tcBorders>
              <w:top w:val="nil"/>
              <w:left w:val="nil"/>
              <w:bottom w:val="single" w:color="auto" w:sz="4" w:space="0"/>
              <w:right w:val="single" w:color="auto" w:sz="4" w:space="0"/>
            </w:tcBorders>
            <w:noWrap/>
            <w:tcMar>
              <w:top w:w="15" w:type="dxa"/>
              <w:left w:w="15" w:type="dxa"/>
              <w:right w:w="15" w:type="dxa"/>
            </w:tcMar>
            <w:vAlign w:val="center"/>
          </w:tcPr>
          <w:p w14:paraId="418AE95B">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260</w:t>
            </w:r>
          </w:p>
        </w:tc>
        <w:tc>
          <w:tcPr>
            <w:tcW w:w="932" w:type="dxa"/>
            <w:gridSpan w:val="2"/>
            <w:tcBorders>
              <w:top w:val="nil"/>
              <w:left w:val="nil"/>
              <w:bottom w:val="single" w:color="auto" w:sz="4" w:space="0"/>
              <w:right w:val="single" w:color="auto" w:sz="4" w:space="0"/>
            </w:tcBorders>
            <w:noWrap/>
            <w:tcMar>
              <w:top w:w="15" w:type="dxa"/>
              <w:left w:w="15" w:type="dxa"/>
              <w:right w:w="15" w:type="dxa"/>
            </w:tcMar>
            <w:vAlign w:val="center"/>
          </w:tcPr>
          <w:p w14:paraId="39589E3C">
            <w:pPr>
              <w:keepNext w:val="0"/>
              <w:keepLines w:val="0"/>
              <w:widowControl/>
              <w:suppressLineNumbers w:val="0"/>
              <w:jc w:val="center"/>
              <w:textAlignment w:val="center"/>
              <w:rPr>
                <w:rFonts w:hint="default" w:ascii="Times New Roman" w:hAnsi="Times New Roman" w:cs="Times New Roman"/>
                <w:color w:val="auto"/>
                <w:sz w:val="22"/>
                <w:szCs w:val="22"/>
                <w:highlight w:val="none"/>
              </w:rPr>
            </w:pPr>
            <w:r>
              <w:rPr>
                <w:rFonts w:hint="default" w:ascii="Times New Roman" w:hAnsi="Times New Roman" w:eastAsia="宋体" w:cs="Times New Roman"/>
                <w:i w:val="0"/>
                <w:iCs w:val="0"/>
                <w:color w:val="auto"/>
                <w:kern w:val="0"/>
                <w:sz w:val="22"/>
                <w:szCs w:val="22"/>
                <w:u w:val="none"/>
                <w:lang w:val="en-US" w:eastAsia="zh-CN" w:bidi="ar"/>
              </w:rPr>
              <w:t>224.1%</w:t>
            </w:r>
          </w:p>
        </w:tc>
        <w:tc>
          <w:tcPr>
            <w:tcW w:w="4483" w:type="dxa"/>
            <w:gridSpan w:val="5"/>
            <w:tcBorders>
              <w:top w:val="nil"/>
              <w:left w:val="nil"/>
              <w:bottom w:val="single" w:color="auto" w:sz="4" w:space="0"/>
              <w:right w:val="single" w:color="auto" w:sz="4" w:space="0"/>
            </w:tcBorders>
            <w:noWrap w:val="0"/>
            <w:tcMar>
              <w:top w:w="15" w:type="dxa"/>
              <w:left w:w="15" w:type="dxa"/>
              <w:right w:w="15" w:type="dxa"/>
            </w:tcMar>
            <w:vAlign w:val="center"/>
          </w:tcPr>
          <w:p w14:paraId="60C9F36F">
            <w:pPr>
              <w:widowControl/>
              <w:spacing w:line="0" w:lineRule="atLeast"/>
              <w:jc w:val="left"/>
              <w:textAlignment w:val="center"/>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sz w:val="22"/>
                <w:szCs w:val="22"/>
                <w:highlight w:val="none"/>
                <w:lang w:val="en-US" w:eastAsia="zh-CN"/>
              </w:rPr>
              <w:t>拨付淮海物流项目政策兑现资金和支持工业经济高质量转型发展专项资金</w:t>
            </w:r>
          </w:p>
        </w:tc>
      </w:tr>
      <w:tr w14:paraId="406512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390" w:hRule="atLeast"/>
          <w:jc w:val="center"/>
        </w:trPr>
        <w:tc>
          <w:tcPr>
            <w:tcW w:w="510"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36EE5407">
            <w:pPr>
              <w:widowControl/>
              <w:spacing w:line="0" w:lineRule="atLeast"/>
              <w:jc w:val="center"/>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5</w:t>
            </w:r>
          </w:p>
        </w:tc>
        <w:tc>
          <w:tcPr>
            <w:tcW w:w="1666" w:type="dxa"/>
            <w:tcBorders>
              <w:top w:val="nil"/>
              <w:left w:val="nil"/>
              <w:bottom w:val="single" w:color="auto" w:sz="4" w:space="0"/>
              <w:right w:val="single" w:color="auto" w:sz="4" w:space="0"/>
            </w:tcBorders>
            <w:noWrap w:val="0"/>
            <w:tcMar>
              <w:top w:w="15" w:type="dxa"/>
              <w:left w:w="15" w:type="dxa"/>
              <w:right w:w="15" w:type="dxa"/>
            </w:tcMar>
            <w:vAlign w:val="center"/>
          </w:tcPr>
          <w:p w14:paraId="3C256E8A">
            <w:pPr>
              <w:widowControl/>
              <w:spacing w:line="0" w:lineRule="atLeast"/>
              <w:jc w:val="left"/>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文化旅游体育与传媒</w:t>
            </w:r>
          </w:p>
        </w:tc>
        <w:tc>
          <w:tcPr>
            <w:tcW w:w="810" w:type="dxa"/>
            <w:tcBorders>
              <w:top w:val="nil"/>
              <w:left w:val="nil"/>
              <w:bottom w:val="single" w:color="auto" w:sz="4" w:space="0"/>
              <w:right w:val="single" w:color="auto" w:sz="4" w:space="0"/>
            </w:tcBorders>
            <w:noWrap/>
            <w:tcMar>
              <w:top w:w="15" w:type="dxa"/>
              <w:left w:w="15" w:type="dxa"/>
              <w:right w:w="15" w:type="dxa"/>
            </w:tcMar>
            <w:vAlign w:val="center"/>
          </w:tcPr>
          <w:p w14:paraId="22556EC5">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185</w:t>
            </w:r>
          </w:p>
        </w:tc>
        <w:tc>
          <w:tcPr>
            <w:tcW w:w="930" w:type="dxa"/>
            <w:gridSpan w:val="2"/>
            <w:tcBorders>
              <w:top w:val="nil"/>
              <w:left w:val="nil"/>
              <w:bottom w:val="single" w:color="auto" w:sz="4" w:space="0"/>
              <w:right w:val="single" w:color="auto" w:sz="4" w:space="0"/>
            </w:tcBorders>
            <w:noWrap/>
            <w:tcMar>
              <w:top w:w="15" w:type="dxa"/>
              <w:left w:w="15" w:type="dxa"/>
              <w:right w:w="15" w:type="dxa"/>
            </w:tcMar>
            <w:vAlign w:val="center"/>
          </w:tcPr>
          <w:p w14:paraId="278EF594">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-59</w:t>
            </w:r>
          </w:p>
        </w:tc>
        <w:tc>
          <w:tcPr>
            <w:tcW w:w="932" w:type="dxa"/>
            <w:gridSpan w:val="2"/>
            <w:tcBorders>
              <w:top w:val="nil"/>
              <w:left w:val="nil"/>
              <w:bottom w:val="single" w:color="auto" w:sz="4" w:space="0"/>
              <w:right w:val="single" w:color="auto" w:sz="4" w:space="0"/>
            </w:tcBorders>
            <w:noWrap/>
            <w:tcMar>
              <w:top w:w="15" w:type="dxa"/>
              <w:left w:w="15" w:type="dxa"/>
              <w:right w:w="15" w:type="dxa"/>
            </w:tcMar>
            <w:vAlign w:val="center"/>
          </w:tcPr>
          <w:p w14:paraId="6B2B0304">
            <w:pPr>
              <w:keepNext w:val="0"/>
              <w:keepLines w:val="0"/>
              <w:widowControl/>
              <w:suppressLineNumbers w:val="0"/>
              <w:jc w:val="center"/>
              <w:textAlignment w:val="center"/>
              <w:rPr>
                <w:rFonts w:hint="default" w:ascii="Times New Roman" w:hAnsi="Times New Roman" w:cs="Times New Roman"/>
                <w:color w:val="auto"/>
                <w:sz w:val="22"/>
                <w:szCs w:val="22"/>
                <w:highlight w:val="none"/>
              </w:rPr>
            </w:pPr>
            <w:r>
              <w:rPr>
                <w:rFonts w:hint="default" w:ascii="Times New Roman" w:hAnsi="Times New Roman" w:eastAsia="宋体" w:cs="Times New Roman"/>
                <w:i w:val="0"/>
                <w:iCs w:val="0"/>
                <w:color w:val="auto"/>
                <w:kern w:val="0"/>
                <w:sz w:val="22"/>
                <w:szCs w:val="22"/>
                <w:u w:val="none"/>
                <w:lang w:val="en-US" w:eastAsia="zh-CN" w:bidi="ar"/>
              </w:rPr>
              <w:t>-24.2%</w:t>
            </w:r>
          </w:p>
        </w:tc>
        <w:tc>
          <w:tcPr>
            <w:tcW w:w="4483" w:type="dxa"/>
            <w:gridSpan w:val="5"/>
            <w:tcBorders>
              <w:top w:val="nil"/>
              <w:left w:val="nil"/>
              <w:bottom w:val="single" w:color="auto" w:sz="4" w:space="0"/>
              <w:right w:val="single" w:color="auto" w:sz="4" w:space="0"/>
            </w:tcBorders>
            <w:noWrap w:val="0"/>
            <w:tcMar>
              <w:top w:w="15" w:type="dxa"/>
              <w:left w:w="15" w:type="dxa"/>
              <w:right w:w="15" w:type="dxa"/>
            </w:tcMar>
            <w:vAlign w:val="center"/>
          </w:tcPr>
          <w:p w14:paraId="5AE0A1A0">
            <w:pPr>
              <w:widowControl/>
              <w:spacing w:line="0" w:lineRule="atLeast"/>
              <w:jc w:val="left"/>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color w:val="auto"/>
                <w:sz w:val="22"/>
                <w:szCs w:val="22"/>
                <w:highlight w:val="none"/>
                <w:lang w:val="en-US" w:eastAsia="zh-CN"/>
              </w:rPr>
              <w:t>去年同期拨付应急广播体系建设经费和城市阅读空间建设经费</w:t>
            </w:r>
          </w:p>
        </w:tc>
      </w:tr>
      <w:tr w14:paraId="4A7BAE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525" w:hRule="atLeast"/>
          <w:jc w:val="center"/>
        </w:trPr>
        <w:tc>
          <w:tcPr>
            <w:tcW w:w="510"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6B703903">
            <w:pPr>
              <w:widowControl/>
              <w:spacing w:line="0" w:lineRule="atLeast"/>
              <w:jc w:val="center"/>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6</w:t>
            </w:r>
          </w:p>
        </w:tc>
        <w:tc>
          <w:tcPr>
            <w:tcW w:w="1666" w:type="dxa"/>
            <w:tcBorders>
              <w:top w:val="nil"/>
              <w:left w:val="nil"/>
              <w:bottom w:val="single" w:color="auto" w:sz="4" w:space="0"/>
              <w:right w:val="single" w:color="auto" w:sz="4" w:space="0"/>
            </w:tcBorders>
            <w:noWrap w:val="0"/>
            <w:tcMar>
              <w:top w:w="15" w:type="dxa"/>
              <w:left w:w="15" w:type="dxa"/>
              <w:right w:w="15" w:type="dxa"/>
            </w:tcMar>
            <w:vAlign w:val="center"/>
          </w:tcPr>
          <w:p w14:paraId="7E0ADD4A">
            <w:pPr>
              <w:widowControl/>
              <w:spacing w:line="0" w:lineRule="atLeast"/>
              <w:jc w:val="left"/>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社会保障和就业</w:t>
            </w:r>
          </w:p>
        </w:tc>
        <w:tc>
          <w:tcPr>
            <w:tcW w:w="810" w:type="dxa"/>
            <w:tcBorders>
              <w:top w:val="nil"/>
              <w:left w:val="nil"/>
              <w:bottom w:val="single" w:color="auto" w:sz="4" w:space="0"/>
              <w:right w:val="single" w:color="auto" w:sz="4" w:space="0"/>
            </w:tcBorders>
            <w:noWrap/>
            <w:tcMar>
              <w:top w:w="15" w:type="dxa"/>
              <w:left w:w="15" w:type="dxa"/>
              <w:right w:w="15" w:type="dxa"/>
            </w:tcMar>
            <w:vAlign w:val="center"/>
          </w:tcPr>
          <w:p w14:paraId="2FF3F277">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17352</w:t>
            </w:r>
          </w:p>
        </w:tc>
        <w:tc>
          <w:tcPr>
            <w:tcW w:w="930" w:type="dxa"/>
            <w:gridSpan w:val="2"/>
            <w:tcBorders>
              <w:top w:val="nil"/>
              <w:left w:val="nil"/>
              <w:bottom w:val="single" w:color="auto" w:sz="4" w:space="0"/>
              <w:right w:val="single" w:color="auto" w:sz="4" w:space="0"/>
            </w:tcBorders>
            <w:noWrap/>
            <w:tcMar>
              <w:top w:w="15" w:type="dxa"/>
              <w:left w:w="15" w:type="dxa"/>
              <w:right w:w="15" w:type="dxa"/>
            </w:tcMar>
            <w:vAlign w:val="center"/>
          </w:tcPr>
          <w:p w14:paraId="0DA56CFE">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4507</w:t>
            </w:r>
          </w:p>
        </w:tc>
        <w:tc>
          <w:tcPr>
            <w:tcW w:w="932" w:type="dxa"/>
            <w:gridSpan w:val="2"/>
            <w:tcBorders>
              <w:top w:val="nil"/>
              <w:left w:val="nil"/>
              <w:bottom w:val="single" w:color="auto" w:sz="4" w:space="0"/>
              <w:right w:val="single" w:color="auto" w:sz="4" w:space="0"/>
            </w:tcBorders>
            <w:noWrap/>
            <w:tcMar>
              <w:top w:w="15" w:type="dxa"/>
              <w:left w:w="15" w:type="dxa"/>
              <w:right w:w="15" w:type="dxa"/>
            </w:tcMar>
            <w:vAlign w:val="center"/>
          </w:tcPr>
          <w:p w14:paraId="21D20F83">
            <w:pPr>
              <w:keepNext w:val="0"/>
              <w:keepLines w:val="0"/>
              <w:widowControl/>
              <w:suppressLineNumbers w:val="0"/>
              <w:jc w:val="center"/>
              <w:textAlignment w:val="center"/>
              <w:rPr>
                <w:rFonts w:hint="default" w:ascii="Times New Roman" w:hAnsi="Times New Roman" w:cs="Times New Roman"/>
                <w:color w:val="auto"/>
                <w:sz w:val="22"/>
                <w:szCs w:val="22"/>
                <w:highlight w:val="none"/>
              </w:rPr>
            </w:pPr>
            <w:r>
              <w:rPr>
                <w:rFonts w:hint="default" w:ascii="Times New Roman" w:hAnsi="Times New Roman" w:eastAsia="宋体" w:cs="Times New Roman"/>
                <w:i w:val="0"/>
                <w:iCs w:val="0"/>
                <w:color w:val="auto"/>
                <w:kern w:val="0"/>
                <w:sz w:val="22"/>
                <w:szCs w:val="22"/>
                <w:u w:val="none"/>
                <w:lang w:val="en-US" w:eastAsia="zh-CN" w:bidi="ar"/>
              </w:rPr>
              <w:t>35.1%</w:t>
            </w:r>
          </w:p>
        </w:tc>
        <w:tc>
          <w:tcPr>
            <w:tcW w:w="4483" w:type="dxa"/>
            <w:gridSpan w:val="5"/>
            <w:tcBorders>
              <w:top w:val="nil"/>
              <w:left w:val="nil"/>
              <w:bottom w:val="single" w:color="auto" w:sz="4" w:space="0"/>
              <w:right w:val="single" w:color="auto" w:sz="4" w:space="0"/>
            </w:tcBorders>
            <w:noWrap w:val="0"/>
            <w:tcMar>
              <w:top w:w="15" w:type="dxa"/>
              <w:left w:w="15" w:type="dxa"/>
              <w:right w:w="15" w:type="dxa"/>
            </w:tcMar>
            <w:vAlign w:val="center"/>
          </w:tcPr>
          <w:p w14:paraId="19293A5E">
            <w:pPr>
              <w:widowControl/>
              <w:spacing w:line="0" w:lineRule="atLeast"/>
              <w:jc w:val="left"/>
              <w:textAlignment w:val="center"/>
              <w:rPr>
                <w:rFonts w:hint="default" w:ascii="Times New Roman" w:hAnsi="Times New Roman" w:eastAsia="宋体" w:cs="Times New Roman"/>
                <w:color w:val="auto"/>
                <w:sz w:val="22"/>
                <w:szCs w:val="22"/>
                <w:highlight w:val="none"/>
                <w:lang w:eastAsia="zh-CN"/>
              </w:rPr>
            </w:pPr>
            <w:r>
              <w:rPr>
                <w:rFonts w:hint="default" w:ascii="Times New Roman" w:hAnsi="Times New Roman" w:eastAsia="宋体" w:cs="Times New Roman"/>
                <w:color w:val="auto"/>
                <w:sz w:val="22"/>
                <w:szCs w:val="22"/>
                <w:highlight w:val="none"/>
                <w:lang w:val="en-US" w:eastAsia="zh-CN"/>
              </w:rPr>
              <w:t>弥补对事业单位基本养老保险基金补助的缺口</w:t>
            </w:r>
          </w:p>
        </w:tc>
      </w:tr>
      <w:tr w14:paraId="0F9BD1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421" w:hRule="atLeast"/>
          <w:jc w:val="center"/>
        </w:trPr>
        <w:tc>
          <w:tcPr>
            <w:tcW w:w="510"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3634522E">
            <w:pPr>
              <w:widowControl/>
              <w:spacing w:line="0" w:lineRule="atLeast"/>
              <w:jc w:val="center"/>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7</w:t>
            </w:r>
          </w:p>
        </w:tc>
        <w:tc>
          <w:tcPr>
            <w:tcW w:w="1666" w:type="dxa"/>
            <w:tcBorders>
              <w:top w:val="nil"/>
              <w:left w:val="nil"/>
              <w:bottom w:val="single" w:color="auto" w:sz="4" w:space="0"/>
              <w:right w:val="single" w:color="auto" w:sz="4" w:space="0"/>
            </w:tcBorders>
            <w:noWrap w:val="0"/>
            <w:tcMar>
              <w:top w:w="15" w:type="dxa"/>
              <w:left w:w="15" w:type="dxa"/>
              <w:right w:w="15" w:type="dxa"/>
            </w:tcMar>
            <w:vAlign w:val="center"/>
          </w:tcPr>
          <w:p w14:paraId="4C959E5C">
            <w:pPr>
              <w:widowControl/>
              <w:spacing w:line="0" w:lineRule="atLeast"/>
              <w:jc w:val="left"/>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卫生健康</w:t>
            </w:r>
          </w:p>
        </w:tc>
        <w:tc>
          <w:tcPr>
            <w:tcW w:w="810" w:type="dxa"/>
            <w:tcBorders>
              <w:top w:val="nil"/>
              <w:left w:val="nil"/>
              <w:bottom w:val="single" w:color="auto" w:sz="4" w:space="0"/>
              <w:right w:val="single" w:color="auto" w:sz="4" w:space="0"/>
            </w:tcBorders>
            <w:noWrap/>
            <w:tcMar>
              <w:top w:w="15" w:type="dxa"/>
              <w:left w:w="15" w:type="dxa"/>
              <w:right w:w="15" w:type="dxa"/>
            </w:tcMar>
            <w:vAlign w:val="center"/>
          </w:tcPr>
          <w:p w14:paraId="432698D5">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4920</w:t>
            </w:r>
          </w:p>
        </w:tc>
        <w:tc>
          <w:tcPr>
            <w:tcW w:w="930" w:type="dxa"/>
            <w:gridSpan w:val="2"/>
            <w:tcBorders>
              <w:top w:val="nil"/>
              <w:left w:val="nil"/>
              <w:bottom w:val="single" w:color="auto" w:sz="4" w:space="0"/>
              <w:right w:val="single" w:color="auto" w:sz="4" w:space="0"/>
            </w:tcBorders>
            <w:noWrap/>
            <w:tcMar>
              <w:top w:w="15" w:type="dxa"/>
              <w:left w:w="15" w:type="dxa"/>
              <w:right w:w="15" w:type="dxa"/>
            </w:tcMar>
            <w:vAlign w:val="center"/>
          </w:tcPr>
          <w:p w14:paraId="51A7C3D6">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-1243</w:t>
            </w:r>
          </w:p>
        </w:tc>
        <w:tc>
          <w:tcPr>
            <w:tcW w:w="932" w:type="dxa"/>
            <w:gridSpan w:val="2"/>
            <w:tcBorders>
              <w:top w:val="nil"/>
              <w:left w:val="nil"/>
              <w:bottom w:val="single" w:color="auto" w:sz="4" w:space="0"/>
              <w:right w:val="single" w:color="auto" w:sz="4" w:space="0"/>
            </w:tcBorders>
            <w:noWrap/>
            <w:tcMar>
              <w:top w:w="15" w:type="dxa"/>
              <w:left w:w="15" w:type="dxa"/>
              <w:right w:w="15" w:type="dxa"/>
            </w:tcMar>
            <w:vAlign w:val="center"/>
          </w:tcPr>
          <w:p w14:paraId="6FFFB589">
            <w:pPr>
              <w:keepNext w:val="0"/>
              <w:keepLines w:val="0"/>
              <w:widowControl/>
              <w:suppressLineNumbers w:val="0"/>
              <w:jc w:val="center"/>
              <w:textAlignment w:val="center"/>
              <w:rPr>
                <w:rFonts w:hint="default" w:ascii="Times New Roman" w:hAnsi="Times New Roman" w:cs="Times New Roman"/>
                <w:color w:val="auto"/>
                <w:sz w:val="22"/>
                <w:szCs w:val="22"/>
                <w:highlight w:val="none"/>
              </w:rPr>
            </w:pPr>
            <w:r>
              <w:rPr>
                <w:rFonts w:hint="default" w:ascii="Times New Roman" w:hAnsi="Times New Roman" w:eastAsia="宋体" w:cs="Times New Roman"/>
                <w:i w:val="0"/>
                <w:iCs w:val="0"/>
                <w:color w:val="auto"/>
                <w:kern w:val="0"/>
                <w:sz w:val="22"/>
                <w:szCs w:val="22"/>
                <w:u w:val="none"/>
                <w:lang w:val="en-US" w:eastAsia="zh-CN" w:bidi="ar"/>
              </w:rPr>
              <w:t>-20.2%</w:t>
            </w:r>
          </w:p>
        </w:tc>
        <w:tc>
          <w:tcPr>
            <w:tcW w:w="4483" w:type="dxa"/>
            <w:gridSpan w:val="5"/>
            <w:tcBorders>
              <w:top w:val="nil"/>
              <w:left w:val="nil"/>
              <w:bottom w:val="single" w:color="auto" w:sz="4" w:space="0"/>
              <w:right w:val="single" w:color="auto" w:sz="4" w:space="0"/>
            </w:tcBorders>
            <w:noWrap w:val="0"/>
            <w:tcMar>
              <w:top w:w="15" w:type="dxa"/>
              <w:left w:w="15" w:type="dxa"/>
              <w:right w:w="15" w:type="dxa"/>
            </w:tcMar>
            <w:vAlign w:val="center"/>
          </w:tcPr>
          <w:p w14:paraId="652A2920">
            <w:pPr>
              <w:widowControl/>
              <w:spacing w:line="0" w:lineRule="atLeast"/>
              <w:jc w:val="left"/>
              <w:textAlignment w:val="center"/>
              <w:rPr>
                <w:rFonts w:hint="default" w:ascii="Times New Roman" w:hAnsi="Times New Roman" w:eastAsia="宋体" w:cs="Times New Roman"/>
                <w:color w:val="auto"/>
                <w:sz w:val="22"/>
                <w:szCs w:val="22"/>
                <w:highlight w:val="none"/>
                <w:lang w:eastAsia="zh-CN"/>
              </w:rPr>
            </w:pPr>
            <w:r>
              <w:rPr>
                <w:rFonts w:hint="default" w:ascii="Times New Roman" w:hAnsi="Times New Roman" w:eastAsia="宋体" w:cs="Times New Roman"/>
                <w:color w:val="auto"/>
                <w:sz w:val="22"/>
                <w:szCs w:val="22"/>
                <w:highlight w:val="none"/>
                <w:lang w:val="en-US" w:eastAsia="zh-CN"/>
              </w:rPr>
              <w:t>不可比因素，去年同期清算了往年疫情防控经费，并拨付淮北市健康驿站项目工程建设资金</w:t>
            </w:r>
          </w:p>
        </w:tc>
      </w:tr>
      <w:tr w14:paraId="2C7315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439" w:hRule="atLeast"/>
          <w:jc w:val="center"/>
        </w:trPr>
        <w:tc>
          <w:tcPr>
            <w:tcW w:w="510"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0FBFEB09">
            <w:pPr>
              <w:widowControl/>
              <w:spacing w:line="0" w:lineRule="atLeast"/>
              <w:jc w:val="center"/>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8</w:t>
            </w:r>
          </w:p>
        </w:tc>
        <w:tc>
          <w:tcPr>
            <w:tcW w:w="1666" w:type="dxa"/>
            <w:tcBorders>
              <w:top w:val="nil"/>
              <w:left w:val="nil"/>
              <w:bottom w:val="single" w:color="auto" w:sz="4" w:space="0"/>
              <w:right w:val="single" w:color="auto" w:sz="4" w:space="0"/>
            </w:tcBorders>
            <w:noWrap w:val="0"/>
            <w:tcMar>
              <w:top w:w="15" w:type="dxa"/>
              <w:left w:w="15" w:type="dxa"/>
              <w:right w:w="15" w:type="dxa"/>
            </w:tcMar>
            <w:vAlign w:val="center"/>
          </w:tcPr>
          <w:p w14:paraId="64C01B7C">
            <w:pPr>
              <w:widowControl/>
              <w:spacing w:line="0" w:lineRule="atLeast"/>
              <w:jc w:val="left"/>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节能环保</w:t>
            </w:r>
          </w:p>
        </w:tc>
        <w:tc>
          <w:tcPr>
            <w:tcW w:w="810" w:type="dxa"/>
            <w:tcBorders>
              <w:top w:val="nil"/>
              <w:left w:val="nil"/>
              <w:bottom w:val="single" w:color="auto" w:sz="4" w:space="0"/>
              <w:right w:val="single" w:color="auto" w:sz="4" w:space="0"/>
            </w:tcBorders>
            <w:noWrap/>
            <w:tcMar>
              <w:top w:w="15" w:type="dxa"/>
              <w:left w:w="15" w:type="dxa"/>
              <w:right w:w="15" w:type="dxa"/>
            </w:tcMar>
            <w:vAlign w:val="center"/>
          </w:tcPr>
          <w:p w14:paraId="0512A85E">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130</w:t>
            </w:r>
          </w:p>
        </w:tc>
        <w:tc>
          <w:tcPr>
            <w:tcW w:w="930" w:type="dxa"/>
            <w:gridSpan w:val="2"/>
            <w:tcBorders>
              <w:top w:val="nil"/>
              <w:left w:val="nil"/>
              <w:bottom w:val="single" w:color="auto" w:sz="4" w:space="0"/>
              <w:right w:val="single" w:color="auto" w:sz="4" w:space="0"/>
            </w:tcBorders>
            <w:noWrap/>
            <w:tcMar>
              <w:top w:w="15" w:type="dxa"/>
              <w:left w:w="15" w:type="dxa"/>
              <w:right w:w="15" w:type="dxa"/>
            </w:tcMar>
            <w:vAlign w:val="center"/>
          </w:tcPr>
          <w:p w14:paraId="1FD7891B">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-257</w:t>
            </w:r>
          </w:p>
        </w:tc>
        <w:tc>
          <w:tcPr>
            <w:tcW w:w="932" w:type="dxa"/>
            <w:gridSpan w:val="2"/>
            <w:tcBorders>
              <w:top w:val="nil"/>
              <w:left w:val="nil"/>
              <w:bottom w:val="single" w:color="auto" w:sz="4" w:space="0"/>
              <w:right w:val="single" w:color="auto" w:sz="4" w:space="0"/>
            </w:tcBorders>
            <w:noWrap/>
            <w:tcMar>
              <w:top w:w="15" w:type="dxa"/>
              <w:left w:w="15" w:type="dxa"/>
              <w:right w:w="15" w:type="dxa"/>
            </w:tcMar>
            <w:vAlign w:val="center"/>
          </w:tcPr>
          <w:p w14:paraId="68F91D39">
            <w:pPr>
              <w:keepNext w:val="0"/>
              <w:keepLines w:val="0"/>
              <w:widowControl/>
              <w:suppressLineNumbers w:val="0"/>
              <w:jc w:val="center"/>
              <w:textAlignment w:val="center"/>
              <w:rPr>
                <w:rFonts w:hint="default" w:ascii="Times New Roman" w:hAnsi="Times New Roman" w:cs="Times New Roman"/>
                <w:color w:val="auto"/>
                <w:sz w:val="22"/>
                <w:szCs w:val="22"/>
                <w:highlight w:val="none"/>
              </w:rPr>
            </w:pPr>
            <w:r>
              <w:rPr>
                <w:rFonts w:hint="default" w:ascii="Times New Roman" w:hAnsi="Times New Roman" w:eastAsia="宋体" w:cs="Times New Roman"/>
                <w:i w:val="0"/>
                <w:iCs w:val="0"/>
                <w:color w:val="auto"/>
                <w:kern w:val="0"/>
                <w:sz w:val="22"/>
                <w:szCs w:val="22"/>
                <w:u w:val="none"/>
                <w:lang w:val="en-US" w:eastAsia="zh-CN" w:bidi="ar"/>
              </w:rPr>
              <w:t>-66.4%</w:t>
            </w:r>
          </w:p>
        </w:tc>
        <w:tc>
          <w:tcPr>
            <w:tcW w:w="4483" w:type="dxa"/>
            <w:gridSpan w:val="5"/>
            <w:tcBorders>
              <w:top w:val="nil"/>
              <w:left w:val="nil"/>
              <w:bottom w:val="single" w:color="auto" w:sz="4" w:space="0"/>
              <w:right w:val="single" w:color="auto" w:sz="4" w:space="0"/>
            </w:tcBorders>
            <w:noWrap w:val="0"/>
            <w:tcMar>
              <w:top w:w="15" w:type="dxa"/>
              <w:left w:w="15" w:type="dxa"/>
              <w:right w:w="15" w:type="dxa"/>
            </w:tcMar>
            <w:vAlign w:val="center"/>
          </w:tcPr>
          <w:p w14:paraId="27B8E2BE">
            <w:pPr>
              <w:widowControl/>
              <w:spacing w:line="0" w:lineRule="atLeast"/>
              <w:jc w:val="left"/>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color w:val="auto"/>
                <w:sz w:val="22"/>
                <w:szCs w:val="22"/>
                <w:highlight w:val="none"/>
                <w:lang w:val="en-US" w:eastAsia="zh-CN"/>
              </w:rPr>
              <w:t>去年同期拨付秸秆发电财政奖补资金</w:t>
            </w:r>
          </w:p>
        </w:tc>
      </w:tr>
      <w:tr w14:paraId="3C5C9A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510" w:hRule="atLeast"/>
          <w:jc w:val="center"/>
        </w:trPr>
        <w:tc>
          <w:tcPr>
            <w:tcW w:w="510"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62571DEA">
            <w:pPr>
              <w:widowControl/>
              <w:spacing w:line="0" w:lineRule="atLeast"/>
              <w:jc w:val="center"/>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9</w:t>
            </w:r>
          </w:p>
        </w:tc>
        <w:tc>
          <w:tcPr>
            <w:tcW w:w="1666" w:type="dxa"/>
            <w:tcBorders>
              <w:top w:val="nil"/>
              <w:left w:val="nil"/>
              <w:bottom w:val="single" w:color="auto" w:sz="4" w:space="0"/>
              <w:right w:val="single" w:color="auto" w:sz="4" w:space="0"/>
            </w:tcBorders>
            <w:noWrap w:val="0"/>
            <w:tcMar>
              <w:top w:w="15" w:type="dxa"/>
              <w:left w:w="15" w:type="dxa"/>
              <w:right w:w="15" w:type="dxa"/>
            </w:tcMar>
            <w:vAlign w:val="center"/>
          </w:tcPr>
          <w:p w14:paraId="61E016BD">
            <w:pPr>
              <w:widowControl/>
              <w:spacing w:line="0" w:lineRule="atLeast"/>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城乡社区</w:t>
            </w:r>
          </w:p>
        </w:tc>
        <w:tc>
          <w:tcPr>
            <w:tcW w:w="810" w:type="dxa"/>
            <w:tcBorders>
              <w:top w:val="nil"/>
              <w:left w:val="nil"/>
              <w:bottom w:val="single" w:color="auto" w:sz="4" w:space="0"/>
              <w:right w:val="single" w:color="auto" w:sz="4" w:space="0"/>
            </w:tcBorders>
            <w:noWrap/>
            <w:tcMar>
              <w:top w:w="15" w:type="dxa"/>
              <w:left w:w="15" w:type="dxa"/>
              <w:right w:w="15" w:type="dxa"/>
            </w:tcMar>
            <w:vAlign w:val="center"/>
          </w:tcPr>
          <w:p w14:paraId="5F9F9A85">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26305</w:t>
            </w:r>
          </w:p>
        </w:tc>
        <w:tc>
          <w:tcPr>
            <w:tcW w:w="930" w:type="dxa"/>
            <w:gridSpan w:val="2"/>
            <w:tcBorders>
              <w:top w:val="nil"/>
              <w:left w:val="nil"/>
              <w:bottom w:val="single" w:color="auto" w:sz="4" w:space="0"/>
              <w:right w:val="single" w:color="auto" w:sz="4" w:space="0"/>
            </w:tcBorders>
            <w:noWrap/>
            <w:tcMar>
              <w:top w:w="15" w:type="dxa"/>
              <w:left w:w="15" w:type="dxa"/>
              <w:right w:w="15" w:type="dxa"/>
            </w:tcMar>
            <w:vAlign w:val="center"/>
          </w:tcPr>
          <w:p w14:paraId="65A085CA">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1407</w:t>
            </w:r>
          </w:p>
        </w:tc>
        <w:tc>
          <w:tcPr>
            <w:tcW w:w="932" w:type="dxa"/>
            <w:gridSpan w:val="2"/>
            <w:tcBorders>
              <w:top w:val="nil"/>
              <w:left w:val="nil"/>
              <w:bottom w:val="single" w:color="auto" w:sz="4" w:space="0"/>
              <w:right w:val="single" w:color="auto" w:sz="4" w:space="0"/>
            </w:tcBorders>
            <w:noWrap/>
            <w:tcMar>
              <w:top w:w="15" w:type="dxa"/>
              <w:left w:w="15" w:type="dxa"/>
              <w:right w:w="15" w:type="dxa"/>
            </w:tcMar>
            <w:vAlign w:val="center"/>
          </w:tcPr>
          <w:p w14:paraId="6CEFE9BE">
            <w:pPr>
              <w:keepNext w:val="0"/>
              <w:keepLines w:val="0"/>
              <w:widowControl/>
              <w:suppressLineNumbers w:val="0"/>
              <w:jc w:val="center"/>
              <w:textAlignment w:val="center"/>
              <w:rPr>
                <w:rFonts w:hint="default" w:ascii="Times New Roman" w:hAnsi="Times New Roman" w:cs="Times New Roman"/>
                <w:color w:val="auto"/>
                <w:sz w:val="22"/>
                <w:szCs w:val="22"/>
                <w:highlight w:val="none"/>
              </w:rPr>
            </w:pPr>
            <w:r>
              <w:rPr>
                <w:rFonts w:hint="default" w:ascii="Times New Roman" w:hAnsi="Times New Roman" w:eastAsia="宋体" w:cs="Times New Roman"/>
                <w:i w:val="0"/>
                <w:iCs w:val="0"/>
                <w:color w:val="auto"/>
                <w:kern w:val="0"/>
                <w:sz w:val="22"/>
                <w:szCs w:val="22"/>
                <w:u w:val="none"/>
                <w:lang w:val="en-US" w:eastAsia="zh-CN" w:bidi="ar"/>
              </w:rPr>
              <w:t>5.7%</w:t>
            </w:r>
          </w:p>
        </w:tc>
        <w:tc>
          <w:tcPr>
            <w:tcW w:w="4483" w:type="dxa"/>
            <w:gridSpan w:val="5"/>
            <w:tcBorders>
              <w:top w:val="nil"/>
              <w:left w:val="nil"/>
              <w:bottom w:val="single" w:color="auto" w:sz="4" w:space="0"/>
              <w:right w:val="single" w:color="auto" w:sz="4" w:space="0"/>
            </w:tcBorders>
            <w:noWrap w:val="0"/>
            <w:tcMar>
              <w:top w:w="15" w:type="dxa"/>
              <w:left w:w="15" w:type="dxa"/>
              <w:right w:w="15" w:type="dxa"/>
            </w:tcMar>
            <w:vAlign w:val="center"/>
          </w:tcPr>
          <w:p w14:paraId="68F5843A">
            <w:pPr>
              <w:widowControl/>
              <w:spacing w:line="0" w:lineRule="atLeast"/>
              <w:jc w:val="left"/>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color w:val="auto"/>
                <w:sz w:val="22"/>
                <w:szCs w:val="22"/>
                <w:highlight w:val="none"/>
                <w:lang w:val="en-US" w:eastAsia="zh-CN"/>
              </w:rPr>
              <w:t>拨付程蒋山土地综合整治项目及滂汪山环境整治项目资金；拨付开发区标准化厂房租赁资金</w:t>
            </w:r>
          </w:p>
        </w:tc>
      </w:tr>
      <w:tr w14:paraId="63919B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515" w:hRule="atLeast"/>
          <w:jc w:val="center"/>
        </w:trPr>
        <w:tc>
          <w:tcPr>
            <w:tcW w:w="510"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25EE6AA0">
            <w:pPr>
              <w:widowControl/>
              <w:spacing w:line="0" w:lineRule="atLeast"/>
              <w:jc w:val="center"/>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10</w:t>
            </w:r>
          </w:p>
        </w:tc>
        <w:tc>
          <w:tcPr>
            <w:tcW w:w="1666" w:type="dxa"/>
            <w:tcBorders>
              <w:top w:val="nil"/>
              <w:left w:val="nil"/>
              <w:bottom w:val="single" w:color="auto" w:sz="4" w:space="0"/>
              <w:right w:val="single" w:color="auto" w:sz="4" w:space="0"/>
            </w:tcBorders>
            <w:noWrap w:val="0"/>
            <w:tcMar>
              <w:top w:w="15" w:type="dxa"/>
              <w:left w:w="15" w:type="dxa"/>
              <w:right w:w="15" w:type="dxa"/>
            </w:tcMar>
            <w:vAlign w:val="center"/>
          </w:tcPr>
          <w:p w14:paraId="61C5E386">
            <w:pPr>
              <w:widowControl/>
              <w:spacing w:line="0" w:lineRule="atLeast"/>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农林水</w:t>
            </w:r>
          </w:p>
        </w:tc>
        <w:tc>
          <w:tcPr>
            <w:tcW w:w="810" w:type="dxa"/>
            <w:tcBorders>
              <w:top w:val="nil"/>
              <w:left w:val="nil"/>
              <w:bottom w:val="single" w:color="auto" w:sz="4" w:space="0"/>
              <w:right w:val="single" w:color="auto" w:sz="4" w:space="0"/>
            </w:tcBorders>
            <w:noWrap/>
            <w:tcMar>
              <w:top w:w="15" w:type="dxa"/>
              <w:left w:w="15" w:type="dxa"/>
              <w:right w:w="15" w:type="dxa"/>
            </w:tcMar>
            <w:vAlign w:val="center"/>
          </w:tcPr>
          <w:p w14:paraId="4D5DDE8F">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2882</w:t>
            </w:r>
          </w:p>
        </w:tc>
        <w:tc>
          <w:tcPr>
            <w:tcW w:w="930" w:type="dxa"/>
            <w:gridSpan w:val="2"/>
            <w:tcBorders>
              <w:top w:val="nil"/>
              <w:left w:val="nil"/>
              <w:bottom w:val="single" w:color="auto" w:sz="4" w:space="0"/>
              <w:right w:val="single" w:color="auto" w:sz="4" w:space="0"/>
            </w:tcBorders>
            <w:noWrap/>
            <w:tcMar>
              <w:top w:w="15" w:type="dxa"/>
              <w:left w:w="15" w:type="dxa"/>
              <w:right w:w="15" w:type="dxa"/>
            </w:tcMar>
            <w:vAlign w:val="center"/>
          </w:tcPr>
          <w:p w14:paraId="036FC059">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-5206</w:t>
            </w:r>
          </w:p>
        </w:tc>
        <w:tc>
          <w:tcPr>
            <w:tcW w:w="932" w:type="dxa"/>
            <w:gridSpan w:val="2"/>
            <w:tcBorders>
              <w:top w:val="nil"/>
              <w:left w:val="nil"/>
              <w:bottom w:val="single" w:color="auto" w:sz="4" w:space="0"/>
              <w:right w:val="single" w:color="auto" w:sz="4" w:space="0"/>
            </w:tcBorders>
            <w:noWrap/>
            <w:tcMar>
              <w:top w:w="15" w:type="dxa"/>
              <w:left w:w="15" w:type="dxa"/>
              <w:right w:w="15" w:type="dxa"/>
            </w:tcMar>
            <w:vAlign w:val="center"/>
          </w:tcPr>
          <w:p w14:paraId="1176D8CB">
            <w:pPr>
              <w:keepNext w:val="0"/>
              <w:keepLines w:val="0"/>
              <w:widowControl/>
              <w:suppressLineNumbers w:val="0"/>
              <w:jc w:val="center"/>
              <w:textAlignment w:val="center"/>
              <w:rPr>
                <w:rFonts w:hint="default" w:ascii="Times New Roman" w:hAnsi="Times New Roman" w:cs="Times New Roman"/>
                <w:color w:val="auto"/>
                <w:sz w:val="22"/>
                <w:szCs w:val="22"/>
                <w:highlight w:val="none"/>
              </w:rPr>
            </w:pPr>
            <w:r>
              <w:rPr>
                <w:rFonts w:hint="default" w:ascii="Times New Roman" w:hAnsi="Times New Roman" w:eastAsia="宋体" w:cs="Times New Roman"/>
                <w:i w:val="0"/>
                <w:iCs w:val="0"/>
                <w:color w:val="auto"/>
                <w:kern w:val="0"/>
                <w:sz w:val="22"/>
                <w:szCs w:val="22"/>
                <w:u w:val="none"/>
                <w:lang w:val="en-US" w:eastAsia="zh-CN" w:bidi="ar"/>
              </w:rPr>
              <w:t>-64.4%</w:t>
            </w:r>
          </w:p>
        </w:tc>
        <w:tc>
          <w:tcPr>
            <w:tcW w:w="4483" w:type="dxa"/>
            <w:gridSpan w:val="5"/>
            <w:tcBorders>
              <w:top w:val="nil"/>
              <w:left w:val="nil"/>
              <w:bottom w:val="single" w:color="auto" w:sz="4" w:space="0"/>
              <w:right w:val="single" w:color="auto" w:sz="4" w:space="0"/>
            </w:tcBorders>
            <w:noWrap w:val="0"/>
            <w:tcMar>
              <w:top w:w="15" w:type="dxa"/>
              <w:left w:w="15" w:type="dxa"/>
              <w:right w:w="15" w:type="dxa"/>
            </w:tcMar>
            <w:vAlign w:val="center"/>
          </w:tcPr>
          <w:p w14:paraId="7E72068A">
            <w:pPr>
              <w:widowControl/>
              <w:spacing w:line="0" w:lineRule="atLeast"/>
              <w:jc w:val="left"/>
              <w:textAlignment w:val="center"/>
              <w:rPr>
                <w:rFonts w:hint="default" w:ascii="Times New Roman" w:hAnsi="Times New Roman" w:eastAsia="宋体" w:cs="Times New Roman"/>
                <w:color w:val="auto"/>
                <w:sz w:val="22"/>
                <w:szCs w:val="22"/>
                <w:highlight w:val="none"/>
                <w:lang w:eastAsia="zh-CN"/>
              </w:rPr>
            </w:pPr>
            <w:r>
              <w:rPr>
                <w:rFonts w:hint="default" w:ascii="Times New Roman" w:hAnsi="Times New Roman" w:eastAsia="宋体" w:cs="Times New Roman"/>
                <w:color w:val="auto"/>
                <w:sz w:val="22"/>
                <w:szCs w:val="22"/>
                <w:highlight w:val="none"/>
                <w:lang w:val="en-US" w:eastAsia="zh-CN"/>
              </w:rPr>
              <w:t>不可比因素，去年同期拨付龙岱河治理工程资金和引调水工程资金</w:t>
            </w:r>
          </w:p>
        </w:tc>
      </w:tr>
      <w:tr w14:paraId="76727F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410" w:hRule="atLeast"/>
          <w:jc w:val="center"/>
        </w:trPr>
        <w:tc>
          <w:tcPr>
            <w:tcW w:w="510"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40F64B9A">
            <w:pPr>
              <w:widowControl/>
              <w:spacing w:line="0" w:lineRule="atLeast"/>
              <w:jc w:val="center"/>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11</w:t>
            </w:r>
          </w:p>
        </w:tc>
        <w:tc>
          <w:tcPr>
            <w:tcW w:w="1666" w:type="dxa"/>
            <w:tcBorders>
              <w:top w:val="nil"/>
              <w:left w:val="nil"/>
              <w:bottom w:val="single" w:color="auto" w:sz="4" w:space="0"/>
              <w:right w:val="single" w:color="auto" w:sz="4" w:space="0"/>
            </w:tcBorders>
            <w:noWrap w:val="0"/>
            <w:tcMar>
              <w:top w:w="15" w:type="dxa"/>
              <w:left w:w="15" w:type="dxa"/>
              <w:right w:w="15" w:type="dxa"/>
            </w:tcMar>
            <w:vAlign w:val="center"/>
          </w:tcPr>
          <w:p w14:paraId="2DF47BCC">
            <w:pPr>
              <w:widowControl/>
              <w:spacing w:line="0" w:lineRule="atLeast"/>
              <w:jc w:val="left"/>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交通运输</w:t>
            </w:r>
          </w:p>
        </w:tc>
        <w:tc>
          <w:tcPr>
            <w:tcW w:w="810" w:type="dxa"/>
            <w:tcBorders>
              <w:top w:val="nil"/>
              <w:left w:val="nil"/>
              <w:bottom w:val="single" w:color="auto" w:sz="4" w:space="0"/>
              <w:right w:val="single" w:color="auto" w:sz="4" w:space="0"/>
            </w:tcBorders>
            <w:noWrap/>
            <w:tcMar>
              <w:top w:w="15" w:type="dxa"/>
              <w:left w:w="15" w:type="dxa"/>
              <w:right w:w="15" w:type="dxa"/>
            </w:tcMar>
            <w:vAlign w:val="center"/>
          </w:tcPr>
          <w:p w14:paraId="1E587778">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10</w:t>
            </w:r>
          </w:p>
        </w:tc>
        <w:tc>
          <w:tcPr>
            <w:tcW w:w="930" w:type="dxa"/>
            <w:gridSpan w:val="2"/>
            <w:tcBorders>
              <w:top w:val="nil"/>
              <w:left w:val="nil"/>
              <w:bottom w:val="single" w:color="auto" w:sz="4" w:space="0"/>
              <w:right w:val="single" w:color="auto" w:sz="4" w:space="0"/>
            </w:tcBorders>
            <w:noWrap/>
            <w:tcMar>
              <w:top w:w="15" w:type="dxa"/>
              <w:left w:w="15" w:type="dxa"/>
              <w:right w:w="15" w:type="dxa"/>
            </w:tcMar>
            <w:vAlign w:val="center"/>
          </w:tcPr>
          <w:p w14:paraId="664C3F37">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-220</w:t>
            </w:r>
          </w:p>
        </w:tc>
        <w:tc>
          <w:tcPr>
            <w:tcW w:w="932" w:type="dxa"/>
            <w:gridSpan w:val="2"/>
            <w:tcBorders>
              <w:top w:val="nil"/>
              <w:left w:val="nil"/>
              <w:bottom w:val="single" w:color="auto" w:sz="4" w:space="0"/>
              <w:right w:val="single" w:color="auto" w:sz="4" w:space="0"/>
            </w:tcBorders>
            <w:noWrap/>
            <w:tcMar>
              <w:top w:w="15" w:type="dxa"/>
              <w:left w:w="15" w:type="dxa"/>
              <w:right w:w="15" w:type="dxa"/>
            </w:tcMar>
            <w:vAlign w:val="center"/>
          </w:tcPr>
          <w:p w14:paraId="1BCAB64A">
            <w:pPr>
              <w:keepNext w:val="0"/>
              <w:keepLines w:val="0"/>
              <w:widowControl/>
              <w:suppressLineNumbers w:val="0"/>
              <w:jc w:val="center"/>
              <w:textAlignment w:val="center"/>
              <w:rPr>
                <w:rFonts w:hint="default" w:ascii="Times New Roman" w:hAnsi="Times New Roman" w:cs="Times New Roman"/>
                <w:color w:val="auto"/>
                <w:sz w:val="22"/>
                <w:szCs w:val="22"/>
                <w:highlight w:val="none"/>
              </w:rPr>
            </w:pPr>
            <w:r>
              <w:rPr>
                <w:rFonts w:hint="default" w:ascii="Times New Roman" w:hAnsi="Times New Roman" w:eastAsia="宋体" w:cs="Times New Roman"/>
                <w:i w:val="0"/>
                <w:iCs w:val="0"/>
                <w:color w:val="auto"/>
                <w:kern w:val="0"/>
                <w:sz w:val="22"/>
                <w:szCs w:val="22"/>
                <w:u w:val="none"/>
                <w:lang w:val="en-US" w:eastAsia="zh-CN" w:bidi="ar"/>
              </w:rPr>
              <w:t>-95.7%</w:t>
            </w:r>
          </w:p>
        </w:tc>
        <w:tc>
          <w:tcPr>
            <w:tcW w:w="4483" w:type="dxa"/>
            <w:gridSpan w:val="5"/>
            <w:tcBorders>
              <w:top w:val="nil"/>
              <w:left w:val="nil"/>
              <w:bottom w:val="single" w:color="auto" w:sz="4" w:space="0"/>
              <w:right w:val="single" w:color="auto" w:sz="4" w:space="0"/>
            </w:tcBorders>
            <w:noWrap w:val="0"/>
            <w:tcMar>
              <w:top w:w="15" w:type="dxa"/>
              <w:left w:w="15" w:type="dxa"/>
              <w:right w:w="15" w:type="dxa"/>
            </w:tcMar>
            <w:vAlign w:val="center"/>
          </w:tcPr>
          <w:p w14:paraId="0BA88B89">
            <w:pPr>
              <w:widowControl/>
              <w:spacing w:line="0" w:lineRule="atLeast"/>
              <w:jc w:val="left"/>
              <w:textAlignment w:val="center"/>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sz w:val="22"/>
                <w:szCs w:val="22"/>
                <w:highlight w:val="none"/>
                <w:lang w:val="en-US" w:eastAsia="zh-CN"/>
              </w:rPr>
              <w:t>去年同期上级追加“四好农村路”项目补助资金</w:t>
            </w:r>
          </w:p>
        </w:tc>
      </w:tr>
      <w:tr w14:paraId="2D8AF5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350" w:hRule="atLeast"/>
          <w:jc w:val="center"/>
        </w:trPr>
        <w:tc>
          <w:tcPr>
            <w:tcW w:w="510"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56CB8D69">
            <w:pPr>
              <w:widowControl/>
              <w:spacing w:line="0" w:lineRule="atLeast"/>
              <w:jc w:val="center"/>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12</w:t>
            </w:r>
          </w:p>
        </w:tc>
        <w:tc>
          <w:tcPr>
            <w:tcW w:w="1666" w:type="dxa"/>
            <w:tcBorders>
              <w:top w:val="nil"/>
              <w:left w:val="nil"/>
              <w:bottom w:val="single" w:color="auto" w:sz="4" w:space="0"/>
              <w:right w:val="single" w:color="auto" w:sz="4" w:space="0"/>
            </w:tcBorders>
            <w:noWrap w:val="0"/>
            <w:tcMar>
              <w:top w:w="15" w:type="dxa"/>
              <w:left w:w="15" w:type="dxa"/>
              <w:right w:w="15" w:type="dxa"/>
            </w:tcMar>
            <w:vAlign w:val="center"/>
          </w:tcPr>
          <w:p w14:paraId="32B56D4B">
            <w:pPr>
              <w:widowControl/>
              <w:spacing w:line="0" w:lineRule="atLeast"/>
              <w:jc w:val="left"/>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资源勘探工业信息等</w:t>
            </w:r>
          </w:p>
        </w:tc>
        <w:tc>
          <w:tcPr>
            <w:tcW w:w="810" w:type="dxa"/>
            <w:tcBorders>
              <w:top w:val="nil"/>
              <w:left w:val="nil"/>
              <w:bottom w:val="single" w:color="auto" w:sz="4" w:space="0"/>
              <w:right w:val="single" w:color="auto" w:sz="4" w:space="0"/>
            </w:tcBorders>
            <w:noWrap/>
            <w:tcMar>
              <w:top w:w="15" w:type="dxa"/>
              <w:left w:w="15" w:type="dxa"/>
              <w:right w:w="15" w:type="dxa"/>
            </w:tcMar>
            <w:vAlign w:val="center"/>
          </w:tcPr>
          <w:p w14:paraId="66907766">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32</w:t>
            </w:r>
          </w:p>
        </w:tc>
        <w:tc>
          <w:tcPr>
            <w:tcW w:w="930" w:type="dxa"/>
            <w:gridSpan w:val="2"/>
            <w:tcBorders>
              <w:top w:val="nil"/>
              <w:left w:val="nil"/>
              <w:bottom w:val="single" w:color="auto" w:sz="4" w:space="0"/>
              <w:right w:val="single" w:color="auto" w:sz="4" w:space="0"/>
            </w:tcBorders>
            <w:noWrap/>
            <w:tcMar>
              <w:top w:w="15" w:type="dxa"/>
              <w:left w:w="15" w:type="dxa"/>
              <w:right w:w="15" w:type="dxa"/>
            </w:tcMar>
            <w:vAlign w:val="center"/>
          </w:tcPr>
          <w:p w14:paraId="5353A852">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-4</w:t>
            </w:r>
          </w:p>
        </w:tc>
        <w:tc>
          <w:tcPr>
            <w:tcW w:w="932" w:type="dxa"/>
            <w:gridSpan w:val="2"/>
            <w:tcBorders>
              <w:top w:val="nil"/>
              <w:left w:val="nil"/>
              <w:bottom w:val="single" w:color="auto" w:sz="4" w:space="0"/>
              <w:right w:val="single" w:color="auto" w:sz="4" w:space="0"/>
            </w:tcBorders>
            <w:noWrap/>
            <w:tcMar>
              <w:top w:w="15" w:type="dxa"/>
              <w:left w:w="15" w:type="dxa"/>
              <w:right w:w="15" w:type="dxa"/>
            </w:tcMar>
            <w:vAlign w:val="center"/>
          </w:tcPr>
          <w:p w14:paraId="18BE5A57">
            <w:pPr>
              <w:keepNext w:val="0"/>
              <w:keepLines w:val="0"/>
              <w:widowControl/>
              <w:suppressLineNumbers w:val="0"/>
              <w:jc w:val="center"/>
              <w:textAlignment w:val="center"/>
              <w:rPr>
                <w:rFonts w:hint="default" w:ascii="Times New Roman" w:hAnsi="Times New Roman" w:cs="Times New Roman"/>
                <w:color w:val="auto"/>
                <w:sz w:val="22"/>
                <w:szCs w:val="22"/>
                <w:highlight w:val="none"/>
              </w:rPr>
            </w:pPr>
            <w:r>
              <w:rPr>
                <w:rFonts w:hint="default" w:ascii="Times New Roman" w:hAnsi="Times New Roman" w:eastAsia="宋体" w:cs="Times New Roman"/>
                <w:i w:val="0"/>
                <w:iCs w:val="0"/>
                <w:color w:val="auto"/>
                <w:kern w:val="0"/>
                <w:sz w:val="22"/>
                <w:szCs w:val="22"/>
                <w:u w:val="none"/>
                <w:lang w:val="en-US" w:eastAsia="zh-CN" w:bidi="ar"/>
              </w:rPr>
              <w:t>-11.1%</w:t>
            </w:r>
          </w:p>
        </w:tc>
        <w:tc>
          <w:tcPr>
            <w:tcW w:w="4483" w:type="dxa"/>
            <w:gridSpan w:val="5"/>
            <w:tcBorders>
              <w:top w:val="nil"/>
              <w:left w:val="nil"/>
              <w:bottom w:val="single" w:color="auto" w:sz="4" w:space="0"/>
              <w:right w:val="single" w:color="auto" w:sz="4" w:space="0"/>
            </w:tcBorders>
            <w:noWrap w:val="0"/>
            <w:tcMar>
              <w:top w:w="15" w:type="dxa"/>
              <w:left w:w="15" w:type="dxa"/>
              <w:right w:w="15" w:type="dxa"/>
            </w:tcMar>
            <w:vAlign w:val="center"/>
          </w:tcPr>
          <w:p w14:paraId="57371B17">
            <w:pPr>
              <w:jc w:val="left"/>
              <w:rPr>
                <w:rFonts w:hint="default" w:ascii="Times New Roman" w:hAnsi="Times New Roman" w:eastAsia="宋体" w:cs="Times New Roman"/>
                <w:color w:val="auto"/>
                <w:kern w:val="2"/>
                <w:sz w:val="22"/>
                <w:szCs w:val="22"/>
                <w:highlight w:val="none"/>
                <w:lang w:val="en-US" w:eastAsia="zh-CN" w:bidi="ar-SA"/>
              </w:rPr>
            </w:pPr>
          </w:p>
        </w:tc>
      </w:tr>
      <w:tr w14:paraId="0630C5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355" w:hRule="atLeast"/>
          <w:jc w:val="center"/>
        </w:trPr>
        <w:tc>
          <w:tcPr>
            <w:tcW w:w="510"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6C8AAA44">
            <w:pPr>
              <w:widowControl/>
              <w:spacing w:line="0" w:lineRule="atLeast"/>
              <w:jc w:val="center"/>
              <w:textAlignment w:val="center"/>
              <w:rPr>
                <w:rFonts w:hint="default" w:ascii="Times New Roman" w:hAnsi="Times New Roman" w:cs="Times New Roman"/>
                <w:color w:val="auto"/>
                <w:kern w:val="0"/>
                <w:sz w:val="22"/>
                <w:szCs w:val="22"/>
                <w:highlight w:val="none"/>
                <w:lang w:bidi="ar"/>
              </w:rPr>
            </w:pPr>
            <w:r>
              <w:rPr>
                <w:rFonts w:hint="default" w:ascii="Times New Roman" w:hAnsi="Times New Roman" w:cs="Times New Roman"/>
                <w:color w:val="auto"/>
                <w:kern w:val="0"/>
                <w:sz w:val="22"/>
                <w:szCs w:val="22"/>
                <w:highlight w:val="none"/>
                <w:lang w:bidi="ar"/>
              </w:rPr>
              <w:t>13</w:t>
            </w:r>
          </w:p>
        </w:tc>
        <w:tc>
          <w:tcPr>
            <w:tcW w:w="1666" w:type="dxa"/>
            <w:tcBorders>
              <w:top w:val="nil"/>
              <w:left w:val="nil"/>
              <w:bottom w:val="single" w:color="auto" w:sz="4" w:space="0"/>
              <w:right w:val="single" w:color="auto" w:sz="4" w:space="0"/>
            </w:tcBorders>
            <w:noWrap w:val="0"/>
            <w:tcMar>
              <w:top w:w="15" w:type="dxa"/>
              <w:left w:w="15" w:type="dxa"/>
              <w:right w:w="15" w:type="dxa"/>
            </w:tcMar>
            <w:vAlign w:val="center"/>
          </w:tcPr>
          <w:p w14:paraId="12C2A5FE">
            <w:pPr>
              <w:widowControl/>
              <w:spacing w:line="0" w:lineRule="atLeast"/>
              <w:jc w:val="left"/>
              <w:textAlignment w:val="center"/>
              <w:rPr>
                <w:rFonts w:hint="default" w:ascii="Times New Roman" w:hAnsi="Times New Roman" w:cs="Times New Roman"/>
                <w:color w:val="auto"/>
                <w:kern w:val="0"/>
                <w:sz w:val="22"/>
                <w:szCs w:val="22"/>
                <w:highlight w:val="none"/>
                <w:lang w:bidi="ar"/>
              </w:rPr>
            </w:pPr>
            <w:r>
              <w:rPr>
                <w:rFonts w:hint="default" w:ascii="Times New Roman" w:hAnsi="Times New Roman" w:cs="Times New Roman"/>
                <w:color w:val="auto"/>
                <w:kern w:val="0"/>
                <w:sz w:val="22"/>
                <w:szCs w:val="22"/>
                <w:highlight w:val="none"/>
                <w:lang w:bidi="ar"/>
              </w:rPr>
              <w:t>商业服务业等</w:t>
            </w:r>
          </w:p>
        </w:tc>
        <w:tc>
          <w:tcPr>
            <w:tcW w:w="810" w:type="dxa"/>
            <w:tcBorders>
              <w:top w:val="nil"/>
              <w:left w:val="nil"/>
              <w:bottom w:val="single" w:color="auto" w:sz="4" w:space="0"/>
              <w:right w:val="single" w:color="auto" w:sz="4" w:space="0"/>
            </w:tcBorders>
            <w:noWrap/>
            <w:tcMar>
              <w:top w:w="15" w:type="dxa"/>
              <w:left w:w="15" w:type="dxa"/>
              <w:right w:w="15" w:type="dxa"/>
            </w:tcMar>
            <w:vAlign w:val="center"/>
          </w:tcPr>
          <w:p w14:paraId="2CC23321">
            <w:pPr>
              <w:jc w:val="center"/>
              <w:rPr>
                <w:rFonts w:hint="default" w:ascii="Times New Roman" w:hAnsi="Times New Roman" w:eastAsia="宋体" w:cs="Times New Roman"/>
                <w:color w:val="auto"/>
                <w:kern w:val="0"/>
                <w:sz w:val="22"/>
                <w:szCs w:val="22"/>
                <w:highlight w:val="none"/>
                <w:lang w:eastAsia="zh-CN" w:bidi="ar"/>
              </w:rPr>
            </w:pPr>
          </w:p>
        </w:tc>
        <w:tc>
          <w:tcPr>
            <w:tcW w:w="930" w:type="dxa"/>
            <w:gridSpan w:val="2"/>
            <w:tcBorders>
              <w:top w:val="nil"/>
              <w:left w:val="nil"/>
              <w:bottom w:val="single" w:color="auto" w:sz="4" w:space="0"/>
              <w:right w:val="single" w:color="auto" w:sz="4" w:space="0"/>
            </w:tcBorders>
            <w:noWrap/>
            <w:tcMar>
              <w:top w:w="15" w:type="dxa"/>
              <w:left w:w="15" w:type="dxa"/>
              <w:right w:w="15" w:type="dxa"/>
            </w:tcMar>
            <w:vAlign w:val="center"/>
          </w:tcPr>
          <w:p w14:paraId="4B4C28BE">
            <w:pPr>
              <w:keepNext w:val="0"/>
              <w:keepLines w:val="0"/>
              <w:widowControl/>
              <w:suppressLineNumbers w:val="0"/>
              <w:jc w:val="center"/>
              <w:textAlignment w:val="center"/>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-2</w:t>
            </w:r>
          </w:p>
        </w:tc>
        <w:tc>
          <w:tcPr>
            <w:tcW w:w="932" w:type="dxa"/>
            <w:gridSpan w:val="2"/>
            <w:tcBorders>
              <w:top w:val="nil"/>
              <w:left w:val="nil"/>
              <w:bottom w:val="single" w:color="auto" w:sz="4" w:space="0"/>
              <w:right w:val="single" w:color="auto" w:sz="4" w:space="0"/>
            </w:tcBorders>
            <w:noWrap/>
            <w:tcMar>
              <w:top w:w="15" w:type="dxa"/>
              <w:left w:w="15" w:type="dxa"/>
              <w:right w:w="15" w:type="dxa"/>
            </w:tcMar>
            <w:vAlign w:val="center"/>
          </w:tcPr>
          <w:p w14:paraId="7529ED4D">
            <w:pPr>
              <w:keepNext w:val="0"/>
              <w:keepLines w:val="0"/>
              <w:widowControl/>
              <w:suppressLineNumbers w:val="0"/>
              <w:jc w:val="center"/>
              <w:textAlignment w:val="center"/>
              <w:rPr>
                <w:rFonts w:hint="default" w:ascii="Times New Roman" w:hAnsi="Times New Roman" w:cs="Times New Roman"/>
                <w:color w:val="auto"/>
                <w:kern w:val="0"/>
                <w:sz w:val="22"/>
                <w:szCs w:val="22"/>
                <w:highlight w:val="none"/>
                <w:lang w:bidi="ar"/>
              </w:rPr>
            </w:pPr>
            <w:r>
              <w:rPr>
                <w:rFonts w:hint="default" w:ascii="Times New Roman" w:hAnsi="Times New Roman" w:eastAsia="宋体" w:cs="Times New Roman"/>
                <w:i w:val="0"/>
                <w:iCs w:val="0"/>
                <w:color w:val="auto"/>
                <w:kern w:val="0"/>
                <w:sz w:val="22"/>
                <w:szCs w:val="22"/>
                <w:u w:val="none"/>
                <w:lang w:val="en-US" w:eastAsia="zh-CN" w:bidi="ar"/>
              </w:rPr>
              <w:t>-100.0%</w:t>
            </w:r>
          </w:p>
        </w:tc>
        <w:tc>
          <w:tcPr>
            <w:tcW w:w="4483" w:type="dxa"/>
            <w:gridSpan w:val="5"/>
            <w:tcBorders>
              <w:top w:val="nil"/>
              <w:left w:val="nil"/>
              <w:bottom w:val="single" w:color="auto" w:sz="4" w:space="0"/>
              <w:right w:val="single" w:color="auto" w:sz="4" w:space="0"/>
            </w:tcBorders>
            <w:noWrap w:val="0"/>
            <w:tcMar>
              <w:top w:w="15" w:type="dxa"/>
              <w:left w:w="15" w:type="dxa"/>
              <w:right w:w="15" w:type="dxa"/>
            </w:tcMar>
            <w:vAlign w:val="center"/>
          </w:tcPr>
          <w:p w14:paraId="17861596">
            <w:pPr>
              <w:widowControl/>
              <w:spacing w:line="0" w:lineRule="atLeast"/>
              <w:jc w:val="left"/>
              <w:textAlignment w:val="center"/>
              <w:rPr>
                <w:rFonts w:hint="default" w:ascii="Times New Roman" w:hAnsi="Times New Roman" w:eastAsia="宋体" w:cs="Times New Roman"/>
                <w:color w:val="auto"/>
                <w:kern w:val="2"/>
                <w:sz w:val="22"/>
                <w:szCs w:val="22"/>
                <w:highlight w:val="none"/>
                <w:lang w:val="en-US" w:eastAsia="zh-CN" w:bidi="ar-SA"/>
              </w:rPr>
            </w:pPr>
            <w:r>
              <w:rPr>
                <w:rFonts w:hint="default" w:ascii="Times New Roman" w:hAnsi="Times New Roman" w:eastAsia="宋体" w:cs="Times New Roman"/>
                <w:color w:val="auto"/>
                <w:kern w:val="2"/>
                <w:sz w:val="22"/>
                <w:szCs w:val="22"/>
                <w:highlight w:val="none"/>
                <w:lang w:val="en-US" w:eastAsia="zh-CN" w:bidi="ar-SA"/>
              </w:rPr>
              <w:t>去年同期拨付消费券发放补贴费用</w:t>
            </w:r>
          </w:p>
        </w:tc>
      </w:tr>
      <w:tr w14:paraId="758FE0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275" w:hRule="atLeast"/>
          <w:jc w:val="center"/>
        </w:trPr>
        <w:tc>
          <w:tcPr>
            <w:tcW w:w="510"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3659AB14">
            <w:pPr>
              <w:widowControl/>
              <w:spacing w:line="0" w:lineRule="atLeast"/>
              <w:jc w:val="center"/>
              <w:textAlignment w:val="center"/>
              <w:rPr>
                <w:rFonts w:hint="default" w:ascii="Times New Roman" w:hAnsi="Times New Roman" w:cs="Times New Roman"/>
                <w:color w:val="auto"/>
                <w:kern w:val="0"/>
                <w:sz w:val="22"/>
                <w:szCs w:val="22"/>
                <w:highlight w:val="none"/>
                <w:lang w:bidi="ar"/>
              </w:rPr>
            </w:pPr>
            <w:r>
              <w:rPr>
                <w:rFonts w:hint="default" w:ascii="Times New Roman" w:hAnsi="Times New Roman" w:cs="Times New Roman"/>
                <w:color w:val="auto"/>
                <w:kern w:val="0"/>
                <w:sz w:val="22"/>
                <w:szCs w:val="22"/>
                <w:highlight w:val="none"/>
                <w:lang w:bidi="ar"/>
              </w:rPr>
              <w:t>14</w:t>
            </w:r>
          </w:p>
        </w:tc>
        <w:tc>
          <w:tcPr>
            <w:tcW w:w="1666" w:type="dxa"/>
            <w:tcBorders>
              <w:top w:val="nil"/>
              <w:left w:val="nil"/>
              <w:bottom w:val="single" w:color="auto" w:sz="4" w:space="0"/>
              <w:right w:val="single" w:color="auto" w:sz="4" w:space="0"/>
            </w:tcBorders>
            <w:noWrap w:val="0"/>
            <w:tcMar>
              <w:top w:w="15" w:type="dxa"/>
              <w:left w:w="15" w:type="dxa"/>
              <w:right w:w="15" w:type="dxa"/>
            </w:tcMar>
            <w:vAlign w:val="center"/>
          </w:tcPr>
          <w:p w14:paraId="7A996D76">
            <w:pPr>
              <w:widowControl/>
              <w:spacing w:line="0" w:lineRule="atLeast"/>
              <w:jc w:val="left"/>
              <w:textAlignment w:val="center"/>
              <w:rPr>
                <w:rFonts w:hint="default" w:ascii="Times New Roman" w:hAnsi="Times New Roman" w:cs="Times New Roman"/>
                <w:color w:val="auto"/>
                <w:kern w:val="0"/>
                <w:sz w:val="22"/>
                <w:szCs w:val="22"/>
                <w:highlight w:val="none"/>
                <w:lang w:bidi="ar"/>
              </w:rPr>
            </w:pPr>
            <w:r>
              <w:rPr>
                <w:rFonts w:hint="default" w:ascii="Times New Roman" w:hAnsi="Times New Roman" w:cs="Times New Roman"/>
                <w:color w:val="auto"/>
                <w:kern w:val="0"/>
                <w:sz w:val="22"/>
                <w:szCs w:val="22"/>
                <w:highlight w:val="none"/>
                <w:lang w:bidi="ar"/>
              </w:rPr>
              <w:t>金融</w:t>
            </w:r>
          </w:p>
        </w:tc>
        <w:tc>
          <w:tcPr>
            <w:tcW w:w="810" w:type="dxa"/>
            <w:tcBorders>
              <w:top w:val="nil"/>
              <w:left w:val="nil"/>
              <w:bottom w:val="single" w:color="auto" w:sz="4" w:space="0"/>
              <w:right w:val="single" w:color="auto" w:sz="4" w:space="0"/>
            </w:tcBorders>
            <w:noWrap/>
            <w:tcMar>
              <w:top w:w="15" w:type="dxa"/>
              <w:left w:w="15" w:type="dxa"/>
              <w:right w:w="15" w:type="dxa"/>
            </w:tcMar>
            <w:vAlign w:val="center"/>
          </w:tcPr>
          <w:p w14:paraId="21C113BB">
            <w:pPr>
              <w:keepNext w:val="0"/>
              <w:keepLines w:val="0"/>
              <w:widowControl/>
              <w:suppressLineNumbers w:val="0"/>
              <w:jc w:val="center"/>
              <w:textAlignment w:val="center"/>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169</w:t>
            </w:r>
          </w:p>
        </w:tc>
        <w:tc>
          <w:tcPr>
            <w:tcW w:w="930" w:type="dxa"/>
            <w:gridSpan w:val="2"/>
            <w:tcBorders>
              <w:top w:val="nil"/>
              <w:left w:val="nil"/>
              <w:bottom w:val="single" w:color="auto" w:sz="4" w:space="0"/>
              <w:right w:val="single" w:color="auto" w:sz="4" w:space="0"/>
            </w:tcBorders>
            <w:noWrap/>
            <w:tcMar>
              <w:top w:w="15" w:type="dxa"/>
              <w:left w:w="15" w:type="dxa"/>
              <w:right w:w="15" w:type="dxa"/>
            </w:tcMar>
            <w:vAlign w:val="center"/>
          </w:tcPr>
          <w:p w14:paraId="0BBD0E4B">
            <w:pPr>
              <w:keepNext w:val="0"/>
              <w:keepLines w:val="0"/>
              <w:widowControl/>
              <w:suppressLineNumbers w:val="0"/>
              <w:jc w:val="center"/>
              <w:textAlignment w:val="center"/>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120</w:t>
            </w:r>
          </w:p>
        </w:tc>
        <w:tc>
          <w:tcPr>
            <w:tcW w:w="932" w:type="dxa"/>
            <w:gridSpan w:val="2"/>
            <w:tcBorders>
              <w:top w:val="nil"/>
              <w:left w:val="nil"/>
              <w:bottom w:val="single" w:color="auto" w:sz="4" w:space="0"/>
              <w:right w:val="single" w:color="auto" w:sz="4" w:space="0"/>
            </w:tcBorders>
            <w:noWrap/>
            <w:tcMar>
              <w:top w:w="15" w:type="dxa"/>
              <w:left w:w="15" w:type="dxa"/>
              <w:right w:w="15" w:type="dxa"/>
            </w:tcMar>
            <w:vAlign w:val="center"/>
          </w:tcPr>
          <w:p w14:paraId="7E75614F">
            <w:pPr>
              <w:keepNext w:val="0"/>
              <w:keepLines w:val="0"/>
              <w:widowControl/>
              <w:suppressLineNumbers w:val="0"/>
              <w:jc w:val="center"/>
              <w:textAlignment w:val="center"/>
              <w:rPr>
                <w:rFonts w:hint="default" w:ascii="Times New Roman" w:hAnsi="Times New Roman" w:cs="Times New Roman"/>
                <w:color w:val="auto"/>
                <w:kern w:val="0"/>
                <w:sz w:val="22"/>
                <w:szCs w:val="22"/>
                <w:highlight w:val="none"/>
                <w:lang w:bidi="ar"/>
              </w:rPr>
            </w:pPr>
            <w:r>
              <w:rPr>
                <w:rFonts w:hint="default" w:ascii="Times New Roman" w:hAnsi="Times New Roman" w:eastAsia="宋体" w:cs="Times New Roman"/>
                <w:i w:val="0"/>
                <w:iCs w:val="0"/>
                <w:color w:val="auto"/>
                <w:kern w:val="0"/>
                <w:sz w:val="22"/>
                <w:szCs w:val="22"/>
                <w:u w:val="none"/>
                <w:lang w:val="en-US" w:eastAsia="zh-CN" w:bidi="ar"/>
              </w:rPr>
              <w:t>244.9%</w:t>
            </w:r>
          </w:p>
        </w:tc>
        <w:tc>
          <w:tcPr>
            <w:tcW w:w="4483" w:type="dxa"/>
            <w:gridSpan w:val="5"/>
            <w:tcBorders>
              <w:top w:val="nil"/>
              <w:left w:val="nil"/>
              <w:bottom w:val="single" w:color="auto" w:sz="4" w:space="0"/>
              <w:right w:val="single" w:color="auto" w:sz="4" w:space="0"/>
            </w:tcBorders>
            <w:noWrap w:val="0"/>
            <w:tcMar>
              <w:top w:w="15" w:type="dxa"/>
              <w:left w:w="15" w:type="dxa"/>
              <w:right w:w="15" w:type="dxa"/>
            </w:tcMar>
            <w:vAlign w:val="center"/>
          </w:tcPr>
          <w:p w14:paraId="2A97834E">
            <w:pPr>
              <w:widowControl/>
              <w:spacing w:line="0" w:lineRule="atLeast"/>
              <w:jc w:val="left"/>
              <w:textAlignment w:val="center"/>
              <w:rPr>
                <w:rFonts w:hint="default" w:ascii="Times New Roman" w:hAnsi="Times New Roman" w:eastAsia="宋体" w:cs="Times New Roman"/>
                <w:color w:val="auto"/>
                <w:kern w:val="2"/>
                <w:sz w:val="22"/>
                <w:szCs w:val="22"/>
                <w:highlight w:val="none"/>
                <w:lang w:val="en-US" w:eastAsia="zh-CN" w:bidi="ar-SA"/>
              </w:rPr>
            </w:pPr>
            <w:r>
              <w:rPr>
                <w:rFonts w:hint="default" w:ascii="Times New Roman" w:hAnsi="Times New Roman" w:eastAsia="宋体" w:cs="Times New Roman"/>
                <w:color w:val="auto"/>
                <w:kern w:val="2"/>
                <w:sz w:val="22"/>
                <w:szCs w:val="22"/>
                <w:highlight w:val="none"/>
                <w:lang w:val="en-US" w:eastAsia="zh-CN" w:bidi="ar-SA"/>
              </w:rPr>
              <w:t>拨付盛典融资担保公司小微企业担保费补助</w:t>
            </w:r>
          </w:p>
        </w:tc>
      </w:tr>
      <w:tr w14:paraId="70B546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255" w:hRule="atLeast"/>
          <w:jc w:val="center"/>
        </w:trPr>
        <w:tc>
          <w:tcPr>
            <w:tcW w:w="510"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5F3322F7">
            <w:pPr>
              <w:widowControl/>
              <w:spacing w:line="0" w:lineRule="atLeast"/>
              <w:jc w:val="center"/>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15</w:t>
            </w:r>
          </w:p>
        </w:tc>
        <w:tc>
          <w:tcPr>
            <w:tcW w:w="1666" w:type="dxa"/>
            <w:tcBorders>
              <w:top w:val="nil"/>
              <w:left w:val="nil"/>
              <w:bottom w:val="single" w:color="auto" w:sz="4" w:space="0"/>
              <w:right w:val="single" w:color="auto" w:sz="4" w:space="0"/>
            </w:tcBorders>
            <w:noWrap w:val="0"/>
            <w:tcMar>
              <w:top w:w="15" w:type="dxa"/>
              <w:left w:w="15" w:type="dxa"/>
              <w:right w:w="15" w:type="dxa"/>
            </w:tcMar>
            <w:vAlign w:val="center"/>
          </w:tcPr>
          <w:p w14:paraId="6E183419">
            <w:pPr>
              <w:widowControl/>
              <w:spacing w:line="0" w:lineRule="atLeast"/>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住房保障</w:t>
            </w:r>
          </w:p>
        </w:tc>
        <w:tc>
          <w:tcPr>
            <w:tcW w:w="810" w:type="dxa"/>
            <w:tcBorders>
              <w:top w:val="nil"/>
              <w:left w:val="nil"/>
              <w:bottom w:val="single" w:color="auto" w:sz="4" w:space="0"/>
              <w:right w:val="single" w:color="auto" w:sz="4" w:space="0"/>
            </w:tcBorders>
            <w:noWrap/>
            <w:tcMar>
              <w:top w:w="15" w:type="dxa"/>
              <w:left w:w="15" w:type="dxa"/>
              <w:right w:w="15" w:type="dxa"/>
            </w:tcMar>
            <w:vAlign w:val="center"/>
          </w:tcPr>
          <w:p w14:paraId="7B1977B6">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5102</w:t>
            </w:r>
          </w:p>
        </w:tc>
        <w:tc>
          <w:tcPr>
            <w:tcW w:w="930" w:type="dxa"/>
            <w:gridSpan w:val="2"/>
            <w:tcBorders>
              <w:top w:val="nil"/>
              <w:left w:val="nil"/>
              <w:bottom w:val="single" w:color="auto" w:sz="4" w:space="0"/>
              <w:right w:val="single" w:color="auto" w:sz="4" w:space="0"/>
            </w:tcBorders>
            <w:noWrap/>
            <w:tcMar>
              <w:top w:w="15" w:type="dxa"/>
              <w:left w:w="15" w:type="dxa"/>
              <w:right w:w="15" w:type="dxa"/>
            </w:tcMar>
            <w:vAlign w:val="center"/>
          </w:tcPr>
          <w:p w14:paraId="2FA152FC">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595</w:t>
            </w:r>
          </w:p>
        </w:tc>
        <w:tc>
          <w:tcPr>
            <w:tcW w:w="932" w:type="dxa"/>
            <w:gridSpan w:val="2"/>
            <w:tcBorders>
              <w:top w:val="nil"/>
              <w:left w:val="nil"/>
              <w:bottom w:val="single" w:color="auto" w:sz="4" w:space="0"/>
              <w:right w:val="single" w:color="auto" w:sz="4" w:space="0"/>
            </w:tcBorders>
            <w:noWrap/>
            <w:tcMar>
              <w:top w:w="15" w:type="dxa"/>
              <w:left w:w="15" w:type="dxa"/>
              <w:right w:w="15" w:type="dxa"/>
            </w:tcMar>
            <w:vAlign w:val="center"/>
          </w:tcPr>
          <w:p w14:paraId="5CC9D83C">
            <w:pPr>
              <w:keepNext w:val="0"/>
              <w:keepLines w:val="0"/>
              <w:widowControl/>
              <w:suppressLineNumbers w:val="0"/>
              <w:jc w:val="center"/>
              <w:textAlignment w:val="center"/>
              <w:rPr>
                <w:rFonts w:hint="default" w:ascii="Times New Roman" w:hAnsi="Times New Roman" w:cs="Times New Roman"/>
                <w:color w:val="auto"/>
                <w:sz w:val="22"/>
                <w:szCs w:val="22"/>
                <w:highlight w:val="none"/>
              </w:rPr>
            </w:pPr>
            <w:r>
              <w:rPr>
                <w:rFonts w:hint="default" w:ascii="Times New Roman" w:hAnsi="Times New Roman" w:eastAsia="宋体" w:cs="Times New Roman"/>
                <w:i w:val="0"/>
                <w:iCs w:val="0"/>
                <w:color w:val="auto"/>
                <w:kern w:val="0"/>
                <w:sz w:val="22"/>
                <w:szCs w:val="22"/>
                <w:u w:val="none"/>
                <w:lang w:val="en-US" w:eastAsia="zh-CN" w:bidi="ar"/>
              </w:rPr>
              <w:t>13.2%</w:t>
            </w:r>
          </w:p>
        </w:tc>
        <w:tc>
          <w:tcPr>
            <w:tcW w:w="4483" w:type="dxa"/>
            <w:gridSpan w:val="5"/>
            <w:tcBorders>
              <w:top w:val="nil"/>
              <w:left w:val="nil"/>
              <w:bottom w:val="single" w:color="auto" w:sz="4" w:space="0"/>
              <w:right w:val="single" w:color="auto" w:sz="4" w:space="0"/>
            </w:tcBorders>
            <w:noWrap w:val="0"/>
            <w:tcMar>
              <w:top w:w="15" w:type="dxa"/>
              <w:left w:w="15" w:type="dxa"/>
              <w:right w:w="15" w:type="dxa"/>
            </w:tcMar>
            <w:vAlign w:val="center"/>
          </w:tcPr>
          <w:p w14:paraId="61700702">
            <w:pPr>
              <w:widowControl/>
              <w:spacing w:line="0" w:lineRule="atLeast"/>
              <w:jc w:val="left"/>
              <w:textAlignment w:val="center"/>
              <w:rPr>
                <w:rFonts w:hint="default" w:ascii="Times New Roman" w:hAnsi="Times New Roman" w:eastAsia="宋体" w:cs="Times New Roman"/>
                <w:color w:val="auto"/>
                <w:kern w:val="2"/>
                <w:sz w:val="22"/>
                <w:szCs w:val="22"/>
                <w:highlight w:val="none"/>
                <w:lang w:val="en-US" w:eastAsia="zh-CN" w:bidi="ar-SA"/>
              </w:rPr>
            </w:pPr>
            <w:r>
              <w:rPr>
                <w:rFonts w:hint="default" w:ascii="Times New Roman" w:hAnsi="Times New Roman" w:eastAsia="宋体" w:cs="Times New Roman"/>
                <w:color w:val="auto"/>
                <w:kern w:val="2"/>
                <w:sz w:val="22"/>
                <w:szCs w:val="22"/>
                <w:highlight w:val="none"/>
                <w:lang w:val="en-US" w:eastAsia="zh-CN" w:bidi="ar-SA"/>
              </w:rPr>
              <w:t>加大了对老旧小区改造的投入</w:t>
            </w:r>
          </w:p>
        </w:tc>
      </w:tr>
      <w:tr w14:paraId="3163C5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440" w:hRule="atLeast"/>
          <w:jc w:val="center"/>
        </w:trPr>
        <w:tc>
          <w:tcPr>
            <w:tcW w:w="510"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3A39739F">
            <w:pPr>
              <w:widowControl/>
              <w:spacing w:line="0" w:lineRule="atLeast"/>
              <w:jc w:val="center"/>
              <w:textAlignment w:val="center"/>
              <w:rPr>
                <w:rFonts w:hint="default" w:ascii="Times New Roman" w:hAnsi="Times New Roman" w:eastAsia="宋体" w:cs="Times New Roman"/>
                <w:color w:val="auto"/>
                <w:sz w:val="22"/>
                <w:szCs w:val="22"/>
                <w:highlight w:val="none"/>
                <w:lang w:eastAsia="zh-CN"/>
              </w:rPr>
            </w:pPr>
            <w:r>
              <w:rPr>
                <w:rFonts w:hint="default" w:ascii="Times New Roman" w:hAnsi="Times New Roman" w:cs="Times New Roman"/>
                <w:color w:val="auto"/>
                <w:kern w:val="0"/>
                <w:sz w:val="22"/>
                <w:szCs w:val="22"/>
                <w:highlight w:val="none"/>
                <w:lang w:bidi="ar"/>
              </w:rPr>
              <w:t>1</w:t>
            </w:r>
            <w:r>
              <w:rPr>
                <w:rFonts w:hint="default" w:ascii="Times New Roman" w:hAnsi="Times New Roman" w:cs="Times New Roman"/>
                <w:color w:val="auto"/>
                <w:kern w:val="0"/>
                <w:sz w:val="22"/>
                <w:szCs w:val="22"/>
                <w:highlight w:val="none"/>
                <w:lang w:val="en-US" w:eastAsia="zh-CN" w:bidi="ar"/>
              </w:rPr>
              <w:t>6</w:t>
            </w:r>
          </w:p>
        </w:tc>
        <w:tc>
          <w:tcPr>
            <w:tcW w:w="1666" w:type="dxa"/>
            <w:tcBorders>
              <w:top w:val="nil"/>
              <w:left w:val="nil"/>
              <w:bottom w:val="single" w:color="auto" w:sz="4" w:space="0"/>
              <w:right w:val="single" w:color="auto" w:sz="4" w:space="0"/>
            </w:tcBorders>
            <w:noWrap w:val="0"/>
            <w:tcMar>
              <w:top w:w="15" w:type="dxa"/>
              <w:left w:w="15" w:type="dxa"/>
              <w:right w:w="15" w:type="dxa"/>
            </w:tcMar>
            <w:vAlign w:val="center"/>
          </w:tcPr>
          <w:p w14:paraId="06C8B8DE">
            <w:pPr>
              <w:widowControl/>
              <w:spacing w:line="0" w:lineRule="atLeast"/>
              <w:textAlignment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kern w:val="0"/>
                <w:sz w:val="22"/>
                <w:szCs w:val="22"/>
                <w:highlight w:val="none"/>
                <w:lang w:bidi="ar"/>
              </w:rPr>
              <w:t>灾害防治及应急管理</w:t>
            </w:r>
          </w:p>
        </w:tc>
        <w:tc>
          <w:tcPr>
            <w:tcW w:w="810" w:type="dxa"/>
            <w:tcBorders>
              <w:top w:val="nil"/>
              <w:left w:val="nil"/>
              <w:bottom w:val="single" w:color="auto" w:sz="4" w:space="0"/>
              <w:right w:val="single" w:color="auto" w:sz="4" w:space="0"/>
            </w:tcBorders>
            <w:noWrap/>
            <w:tcMar>
              <w:top w:w="15" w:type="dxa"/>
              <w:left w:w="15" w:type="dxa"/>
              <w:right w:w="15" w:type="dxa"/>
            </w:tcMar>
            <w:vAlign w:val="center"/>
          </w:tcPr>
          <w:p w14:paraId="0DFB915E">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111</w:t>
            </w:r>
          </w:p>
        </w:tc>
        <w:tc>
          <w:tcPr>
            <w:tcW w:w="930" w:type="dxa"/>
            <w:gridSpan w:val="2"/>
            <w:tcBorders>
              <w:top w:val="nil"/>
              <w:left w:val="nil"/>
              <w:bottom w:val="single" w:color="auto" w:sz="4" w:space="0"/>
              <w:right w:val="single" w:color="auto" w:sz="4" w:space="0"/>
            </w:tcBorders>
            <w:noWrap/>
            <w:tcMar>
              <w:top w:w="15" w:type="dxa"/>
              <w:left w:w="15" w:type="dxa"/>
              <w:right w:w="15" w:type="dxa"/>
            </w:tcMar>
            <w:vAlign w:val="center"/>
          </w:tcPr>
          <w:p w14:paraId="1F45C672">
            <w:pPr>
              <w:keepNext w:val="0"/>
              <w:keepLines w:val="0"/>
              <w:widowControl/>
              <w:suppressLineNumbers w:val="0"/>
              <w:jc w:val="center"/>
              <w:textAlignment w:val="center"/>
              <w:rPr>
                <w:rFonts w:hint="default"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i w:val="0"/>
                <w:iCs w:val="0"/>
                <w:color w:val="auto"/>
                <w:kern w:val="0"/>
                <w:sz w:val="24"/>
                <w:szCs w:val="24"/>
                <w:u w:val="none"/>
                <w:lang w:val="en-US" w:eastAsia="zh-CN" w:bidi="ar"/>
              </w:rPr>
              <w:t>-163</w:t>
            </w:r>
          </w:p>
        </w:tc>
        <w:tc>
          <w:tcPr>
            <w:tcW w:w="932" w:type="dxa"/>
            <w:gridSpan w:val="2"/>
            <w:tcBorders>
              <w:top w:val="nil"/>
              <w:left w:val="nil"/>
              <w:bottom w:val="single" w:color="auto" w:sz="4" w:space="0"/>
              <w:right w:val="single" w:color="auto" w:sz="4" w:space="0"/>
            </w:tcBorders>
            <w:noWrap/>
            <w:tcMar>
              <w:top w:w="15" w:type="dxa"/>
              <w:left w:w="15" w:type="dxa"/>
              <w:right w:w="15" w:type="dxa"/>
            </w:tcMar>
            <w:vAlign w:val="center"/>
          </w:tcPr>
          <w:p w14:paraId="222F0B4D">
            <w:pPr>
              <w:keepNext w:val="0"/>
              <w:keepLines w:val="0"/>
              <w:widowControl/>
              <w:suppressLineNumbers w:val="0"/>
              <w:jc w:val="center"/>
              <w:textAlignment w:val="center"/>
              <w:rPr>
                <w:rFonts w:hint="default" w:ascii="Times New Roman" w:hAnsi="Times New Roman" w:cs="Times New Roman"/>
                <w:color w:val="auto"/>
                <w:sz w:val="22"/>
                <w:szCs w:val="22"/>
                <w:highlight w:val="none"/>
              </w:rPr>
            </w:pPr>
            <w:r>
              <w:rPr>
                <w:rFonts w:hint="default" w:ascii="Times New Roman" w:hAnsi="Times New Roman" w:eastAsia="宋体" w:cs="Times New Roman"/>
                <w:i w:val="0"/>
                <w:iCs w:val="0"/>
                <w:color w:val="auto"/>
                <w:kern w:val="0"/>
                <w:sz w:val="22"/>
                <w:szCs w:val="22"/>
                <w:u w:val="none"/>
                <w:lang w:val="en-US" w:eastAsia="zh-CN" w:bidi="ar"/>
              </w:rPr>
              <w:t>-59.5%</w:t>
            </w:r>
          </w:p>
        </w:tc>
        <w:tc>
          <w:tcPr>
            <w:tcW w:w="4483" w:type="dxa"/>
            <w:gridSpan w:val="5"/>
            <w:tcBorders>
              <w:top w:val="nil"/>
              <w:left w:val="nil"/>
              <w:bottom w:val="single" w:color="auto" w:sz="4" w:space="0"/>
              <w:right w:val="single" w:color="auto" w:sz="4" w:space="0"/>
            </w:tcBorders>
            <w:noWrap w:val="0"/>
            <w:tcMar>
              <w:top w:w="15" w:type="dxa"/>
              <w:left w:w="15" w:type="dxa"/>
              <w:right w:w="15" w:type="dxa"/>
            </w:tcMar>
            <w:vAlign w:val="center"/>
          </w:tcPr>
          <w:p w14:paraId="014DE20E">
            <w:pPr>
              <w:widowControl/>
              <w:spacing w:line="0" w:lineRule="atLeast"/>
              <w:jc w:val="left"/>
              <w:textAlignment w:val="center"/>
              <w:rPr>
                <w:rFonts w:hint="default" w:ascii="Times New Roman" w:hAnsi="Times New Roman" w:eastAsia="宋体" w:cs="Times New Roman"/>
                <w:color w:val="auto"/>
                <w:kern w:val="2"/>
                <w:sz w:val="22"/>
                <w:szCs w:val="22"/>
                <w:highlight w:val="none"/>
                <w:lang w:val="en-US" w:eastAsia="zh-CN" w:bidi="ar-SA"/>
              </w:rPr>
            </w:pPr>
            <w:r>
              <w:rPr>
                <w:rFonts w:hint="default" w:ascii="Times New Roman" w:hAnsi="Times New Roman" w:eastAsia="宋体" w:cs="Times New Roman"/>
                <w:color w:val="auto"/>
                <w:kern w:val="2"/>
                <w:sz w:val="22"/>
                <w:szCs w:val="22"/>
                <w:highlight w:val="none"/>
                <w:lang w:val="en-US" w:eastAsia="zh-CN" w:bidi="ar-SA"/>
              </w:rPr>
              <w:t>去年同期上级追加自然灾害救灾资金</w:t>
            </w:r>
          </w:p>
        </w:tc>
      </w:tr>
      <w:tr w14:paraId="1F2DE0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285" w:hRule="atLeast"/>
          <w:jc w:val="center"/>
        </w:trPr>
        <w:tc>
          <w:tcPr>
            <w:tcW w:w="510"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6F29E789">
            <w:pPr>
              <w:widowControl/>
              <w:spacing w:line="0" w:lineRule="atLeast"/>
              <w:jc w:val="center"/>
              <w:textAlignment w:val="center"/>
              <w:rPr>
                <w:rFonts w:hint="default" w:ascii="Times New Roman" w:hAnsi="Times New Roman" w:eastAsia="宋体" w:cs="Times New Roman"/>
                <w:color w:val="auto"/>
                <w:sz w:val="22"/>
                <w:szCs w:val="22"/>
                <w:highlight w:val="none"/>
                <w:lang w:eastAsia="zh-CN"/>
              </w:rPr>
            </w:pPr>
            <w:r>
              <w:rPr>
                <w:rFonts w:hint="default" w:ascii="Times New Roman" w:hAnsi="Times New Roman" w:cs="Times New Roman"/>
                <w:color w:val="auto"/>
                <w:sz w:val="22"/>
                <w:szCs w:val="22"/>
                <w:highlight w:val="none"/>
              </w:rPr>
              <w:t>1</w:t>
            </w:r>
            <w:r>
              <w:rPr>
                <w:rFonts w:hint="default" w:ascii="Times New Roman" w:hAnsi="Times New Roman" w:cs="Times New Roman"/>
                <w:color w:val="auto"/>
                <w:sz w:val="22"/>
                <w:szCs w:val="22"/>
                <w:highlight w:val="none"/>
                <w:lang w:val="en-US" w:eastAsia="zh-CN"/>
              </w:rPr>
              <w:t>7</w:t>
            </w:r>
          </w:p>
        </w:tc>
        <w:tc>
          <w:tcPr>
            <w:tcW w:w="1666" w:type="dxa"/>
            <w:tcBorders>
              <w:top w:val="nil"/>
              <w:left w:val="nil"/>
              <w:bottom w:val="single" w:color="auto" w:sz="4" w:space="0"/>
              <w:right w:val="single" w:color="auto" w:sz="4" w:space="0"/>
            </w:tcBorders>
            <w:noWrap w:val="0"/>
            <w:tcMar>
              <w:top w:w="15" w:type="dxa"/>
              <w:left w:w="15" w:type="dxa"/>
              <w:right w:w="15" w:type="dxa"/>
            </w:tcMar>
            <w:vAlign w:val="center"/>
          </w:tcPr>
          <w:p w14:paraId="210DB838">
            <w:pPr>
              <w:widowControl/>
              <w:spacing w:line="0" w:lineRule="atLeast"/>
              <w:textAlignment w:val="center"/>
              <w:rPr>
                <w:rFonts w:hint="default" w:ascii="Times New Roman" w:hAnsi="Times New Roman" w:cs="Times New Roman"/>
                <w:color w:val="auto"/>
                <w:kern w:val="0"/>
                <w:sz w:val="22"/>
                <w:szCs w:val="22"/>
                <w:highlight w:val="none"/>
                <w:lang w:bidi="ar"/>
              </w:rPr>
            </w:pPr>
            <w:r>
              <w:rPr>
                <w:rFonts w:hint="default" w:ascii="Times New Roman" w:hAnsi="Times New Roman" w:cs="Times New Roman"/>
                <w:color w:val="auto"/>
                <w:kern w:val="0"/>
                <w:sz w:val="22"/>
                <w:szCs w:val="22"/>
                <w:highlight w:val="none"/>
                <w:lang w:bidi="ar"/>
              </w:rPr>
              <w:t>债务付息及发行费用</w:t>
            </w:r>
          </w:p>
        </w:tc>
        <w:tc>
          <w:tcPr>
            <w:tcW w:w="810" w:type="dxa"/>
            <w:tcBorders>
              <w:top w:val="nil"/>
              <w:left w:val="nil"/>
              <w:bottom w:val="single" w:color="auto" w:sz="4" w:space="0"/>
              <w:right w:val="single" w:color="auto" w:sz="4" w:space="0"/>
            </w:tcBorders>
            <w:noWrap/>
            <w:tcMar>
              <w:top w:w="15" w:type="dxa"/>
              <w:left w:w="15" w:type="dxa"/>
              <w:right w:w="15" w:type="dxa"/>
            </w:tcMar>
            <w:vAlign w:val="center"/>
          </w:tcPr>
          <w:p w14:paraId="3E9145A0">
            <w:pPr>
              <w:keepNext w:val="0"/>
              <w:keepLines w:val="0"/>
              <w:widowControl/>
              <w:suppressLineNumbers w:val="0"/>
              <w:jc w:val="center"/>
              <w:textAlignment w:val="center"/>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1932</w:t>
            </w:r>
          </w:p>
        </w:tc>
        <w:tc>
          <w:tcPr>
            <w:tcW w:w="930" w:type="dxa"/>
            <w:gridSpan w:val="2"/>
            <w:tcBorders>
              <w:top w:val="nil"/>
              <w:left w:val="nil"/>
              <w:bottom w:val="single" w:color="auto" w:sz="4" w:space="0"/>
              <w:right w:val="single" w:color="auto" w:sz="4" w:space="0"/>
            </w:tcBorders>
            <w:noWrap/>
            <w:tcMar>
              <w:top w:w="15" w:type="dxa"/>
              <w:left w:w="15" w:type="dxa"/>
              <w:right w:w="15" w:type="dxa"/>
            </w:tcMar>
            <w:vAlign w:val="center"/>
          </w:tcPr>
          <w:p w14:paraId="06E58E1E">
            <w:pPr>
              <w:keepNext w:val="0"/>
              <w:keepLines w:val="0"/>
              <w:widowControl/>
              <w:suppressLineNumbers w:val="0"/>
              <w:jc w:val="center"/>
              <w:textAlignment w:val="center"/>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-162</w:t>
            </w:r>
          </w:p>
        </w:tc>
        <w:tc>
          <w:tcPr>
            <w:tcW w:w="932" w:type="dxa"/>
            <w:gridSpan w:val="2"/>
            <w:tcBorders>
              <w:top w:val="nil"/>
              <w:left w:val="nil"/>
              <w:bottom w:val="single" w:color="auto" w:sz="4" w:space="0"/>
              <w:right w:val="single" w:color="auto" w:sz="4" w:space="0"/>
            </w:tcBorders>
            <w:noWrap/>
            <w:tcMar>
              <w:top w:w="15" w:type="dxa"/>
              <w:left w:w="15" w:type="dxa"/>
              <w:right w:w="15" w:type="dxa"/>
            </w:tcMar>
            <w:vAlign w:val="center"/>
          </w:tcPr>
          <w:p w14:paraId="40DCFB5C">
            <w:pPr>
              <w:keepNext w:val="0"/>
              <w:keepLines w:val="0"/>
              <w:widowControl/>
              <w:suppressLineNumbers w:val="0"/>
              <w:jc w:val="center"/>
              <w:textAlignment w:val="center"/>
              <w:rPr>
                <w:rFonts w:hint="default" w:ascii="Times New Roman" w:hAnsi="Times New Roman" w:cs="Times New Roman"/>
                <w:color w:val="auto"/>
                <w:sz w:val="22"/>
                <w:szCs w:val="22"/>
                <w:highlight w:val="none"/>
              </w:rPr>
            </w:pPr>
            <w:r>
              <w:rPr>
                <w:rFonts w:hint="default" w:ascii="Times New Roman" w:hAnsi="Times New Roman" w:eastAsia="宋体" w:cs="Times New Roman"/>
                <w:i w:val="0"/>
                <w:iCs w:val="0"/>
                <w:color w:val="auto"/>
                <w:kern w:val="0"/>
                <w:sz w:val="22"/>
                <w:szCs w:val="22"/>
                <w:u w:val="none"/>
                <w:lang w:val="en-US" w:eastAsia="zh-CN" w:bidi="ar"/>
              </w:rPr>
              <w:t>-7.7%</w:t>
            </w:r>
          </w:p>
        </w:tc>
        <w:tc>
          <w:tcPr>
            <w:tcW w:w="4483" w:type="dxa"/>
            <w:gridSpan w:val="5"/>
            <w:tcBorders>
              <w:top w:val="nil"/>
              <w:left w:val="nil"/>
              <w:bottom w:val="single" w:color="auto" w:sz="4" w:space="0"/>
              <w:right w:val="single" w:color="auto" w:sz="4" w:space="0"/>
            </w:tcBorders>
            <w:noWrap w:val="0"/>
            <w:tcMar>
              <w:top w:w="15" w:type="dxa"/>
              <w:left w:w="15" w:type="dxa"/>
              <w:right w:w="15" w:type="dxa"/>
            </w:tcMar>
            <w:vAlign w:val="center"/>
          </w:tcPr>
          <w:p w14:paraId="1D7C07F2">
            <w:pPr>
              <w:widowControl/>
              <w:spacing w:line="0" w:lineRule="atLeast"/>
              <w:jc w:val="left"/>
              <w:textAlignment w:val="center"/>
              <w:rPr>
                <w:rFonts w:hint="default" w:ascii="Times New Roman" w:hAnsi="Times New Roman" w:cs="Times New Roman"/>
                <w:color w:val="auto"/>
                <w:kern w:val="0"/>
                <w:sz w:val="22"/>
                <w:szCs w:val="22"/>
                <w:highlight w:val="none"/>
                <w:lang w:bidi="ar"/>
              </w:rPr>
            </w:pPr>
          </w:p>
        </w:tc>
      </w:tr>
      <w:tr w14:paraId="6B81D7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gridBefore w:val="1"/>
          <w:wBefore w:w="414" w:type="dxa"/>
          <w:trHeight w:val="569" w:hRule="atLeast"/>
          <w:jc w:val="center"/>
        </w:trPr>
        <w:tc>
          <w:tcPr>
            <w:tcW w:w="2176" w:type="dxa"/>
            <w:gridSpan w:val="2"/>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FC92E5D">
            <w:pPr>
              <w:widowControl/>
              <w:spacing w:line="0" w:lineRule="atLeast"/>
              <w:jc w:val="center"/>
              <w:textAlignment w:val="center"/>
              <w:rPr>
                <w:rFonts w:hint="default" w:ascii="Times New Roman" w:hAnsi="Times New Roman" w:cs="Times New Roman"/>
                <w:b/>
                <w:bCs/>
                <w:color w:val="auto"/>
                <w:sz w:val="22"/>
                <w:szCs w:val="22"/>
                <w:highlight w:val="none"/>
              </w:rPr>
            </w:pPr>
            <w:r>
              <w:rPr>
                <w:rFonts w:hint="default" w:ascii="Times New Roman" w:hAnsi="Times New Roman" w:cs="Times New Roman"/>
                <w:b/>
                <w:bCs/>
                <w:color w:val="auto"/>
                <w:kern w:val="0"/>
                <w:sz w:val="22"/>
                <w:szCs w:val="22"/>
                <w:highlight w:val="none"/>
                <w:lang w:bidi="ar"/>
              </w:rPr>
              <w:t>合计</w:t>
            </w:r>
          </w:p>
        </w:tc>
        <w:tc>
          <w:tcPr>
            <w:tcW w:w="81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31587501">
            <w:pPr>
              <w:spacing w:line="0" w:lineRule="atLeast"/>
              <w:jc w:val="center"/>
              <w:rPr>
                <w:rFonts w:hint="default" w:ascii="Times New Roman" w:hAnsi="Times New Roman" w:eastAsia="宋体" w:cs="Times New Roman"/>
                <w:b/>
                <w:bCs/>
                <w:color w:val="auto"/>
                <w:sz w:val="22"/>
                <w:szCs w:val="22"/>
                <w:highlight w:val="none"/>
                <w:lang w:val="en-US" w:eastAsia="zh-CN"/>
              </w:rPr>
            </w:pPr>
            <w:r>
              <w:rPr>
                <w:rFonts w:hint="default" w:ascii="Times New Roman" w:hAnsi="Times New Roman" w:cs="Times New Roman"/>
                <w:b/>
                <w:bCs/>
                <w:color w:val="auto"/>
                <w:sz w:val="22"/>
                <w:szCs w:val="22"/>
                <w:highlight w:val="none"/>
                <w:lang w:val="en-US" w:eastAsia="zh-CN"/>
              </w:rPr>
              <w:t>86970</w:t>
            </w:r>
          </w:p>
        </w:tc>
        <w:tc>
          <w:tcPr>
            <w:tcW w:w="930" w:type="dxa"/>
            <w:gridSpan w:val="2"/>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2F18D508">
            <w:pPr>
              <w:spacing w:line="0" w:lineRule="atLeast"/>
              <w:jc w:val="center"/>
              <w:rPr>
                <w:rFonts w:hint="default" w:ascii="Times New Roman" w:hAnsi="Times New Roman" w:eastAsia="宋体" w:cs="Times New Roman"/>
                <w:b/>
                <w:bCs/>
                <w:color w:val="auto"/>
                <w:sz w:val="22"/>
                <w:szCs w:val="22"/>
                <w:highlight w:val="none"/>
                <w:lang w:val="en-US" w:eastAsia="zh-CN"/>
              </w:rPr>
            </w:pPr>
            <w:r>
              <w:rPr>
                <w:rFonts w:hint="default" w:ascii="Times New Roman" w:hAnsi="Times New Roman" w:cs="Times New Roman"/>
                <w:b/>
                <w:bCs/>
                <w:color w:val="auto"/>
                <w:sz w:val="22"/>
                <w:szCs w:val="22"/>
                <w:highlight w:val="none"/>
                <w:lang w:val="en-US" w:eastAsia="zh-CN"/>
              </w:rPr>
              <w:t>-719</w:t>
            </w:r>
          </w:p>
        </w:tc>
        <w:tc>
          <w:tcPr>
            <w:tcW w:w="932" w:type="dxa"/>
            <w:gridSpan w:val="2"/>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472736E1">
            <w:pPr>
              <w:widowControl/>
              <w:spacing w:line="0" w:lineRule="atLeast"/>
              <w:jc w:val="center"/>
              <w:textAlignment w:val="center"/>
              <w:rPr>
                <w:rFonts w:hint="default" w:ascii="Times New Roman" w:hAnsi="Times New Roman" w:cs="Times New Roman"/>
                <w:b/>
                <w:bCs/>
                <w:color w:val="auto"/>
                <w:sz w:val="22"/>
                <w:szCs w:val="22"/>
                <w:highlight w:val="none"/>
              </w:rPr>
            </w:pPr>
            <w:r>
              <w:rPr>
                <w:rFonts w:hint="default" w:ascii="Times New Roman" w:hAnsi="Times New Roman" w:cs="Times New Roman"/>
                <w:b/>
                <w:bCs/>
                <w:color w:val="auto"/>
                <w:sz w:val="22"/>
                <w:szCs w:val="22"/>
                <w:highlight w:val="none"/>
                <w:lang w:val="en-US" w:eastAsia="zh-CN"/>
              </w:rPr>
              <w:t>-0.8</w:t>
            </w:r>
            <w:r>
              <w:rPr>
                <w:rFonts w:hint="default" w:ascii="Times New Roman" w:hAnsi="Times New Roman" w:cs="Times New Roman"/>
                <w:b/>
                <w:bCs/>
                <w:color w:val="auto"/>
                <w:kern w:val="0"/>
                <w:sz w:val="22"/>
                <w:szCs w:val="22"/>
                <w:highlight w:val="none"/>
                <w:lang w:bidi="ar"/>
              </w:rPr>
              <w:t>%</w:t>
            </w:r>
          </w:p>
        </w:tc>
        <w:tc>
          <w:tcPr>
            <w:tcW w:w="4483" w:type="dxa"/>
            <w:gridSpan w:val="5"/>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61E80FB">
            <w:pPr>
              <w:widowControl/>
              <w:spacing w:line="0" w:lineRule="atLeast"/>
              <w:jc w:val="left"/>
              <w:textAlignment w:val="center"/>
              <w:rPr>
                <w:rFonts w:hint="default" w:ascii="Times New Roman" w:hAnsi="Times New Roman" w:cs="Times New Roman"/>
                <w:b/>
                <w:bCs/>
                <w:color w:val="auto"/>
                <w:sz w:val="22"/>
                <w:szCs w:val="22"/>
                <w:highlight w:val="none"/>
              </w:rPr>
            </w:pPr>
            <w:r>
              <w:rPr>
                <w:rFonts w:hint="default" w:ascii="Times New Roman" w:hAnsi="Times New Roman" w:cs="Times New Roman"/>
                <w:b/>
                <w:bCs/>
                <w:color w:val="auto"/>
                <w:kern w:val="0"/>
                <w:sz w:val="22"/>
                <w:szCs w:val="22"/>
                <w:highlight w:val="none"/>
                <w:lang w:bidi="ar"/>
              </w:rPr>
              <w:t>　</w:t>
            </w:r>
          </w:p>
        </w:tc>
      </w:tr>
    </w:tbl>
    <w:p w14:paraId="194125B3">
      <w:pPr>
        <w:pStyle w:val="2"/>
        <w:ind w:left="0" w:leftChars="0" w:firstLine="0" w:firstLineChars="0"/>
        <w:rPr>
          <w:rFonts w:hint="default" w:ascii="Times New Roman" w:hAnsi="Times New Roman" w:eastAsia="仿宋_GB2312" w:cs="Times New Roman"/>
          <w:color w:val="auto"/>
          <w:sz w:val="32"/>
        </w:rPr>
        <w:sectPr>
          <w:headerReference r:id="rId5" w:type="first"/>
          <w:footerReference r:id="rId8" w:type="first"/>
          <w:headerReference r:id="rId3" w:type="default"/>
          <w:footerReference r:id="rId6" w:type="default"/>
          <w:headerReference r:id="rId4" w:type="even"/>
          <w:footerReference r:id="rId7" w:type="even"/>
          <w:pgSz w:w="11906" w:h="16838"/>
          <w:pgMar w:top="2098" w:right="1417" w:bottom="1984" w:left="1701" w:header="1701" w:footer="1417" w:gutter="0"/>
          <w:pgBorders>
            <w:top w:val="none" w:sz="0" w:space="0"/>
            <w:left w:val="none" w:sz="0" w:space="0"/>
            <w:bottom w:val="none" w:sz="0" w:space="0"/>
            <w:right w:val="none" w:sz="0" w:space="0"/>
          </w:pgBorders>
          <w:cols w:space="0" w:num="1"/>
          <w:docGrid w:type="lines" w:linePitch="312" w:charSpace="0"/>
        </w:sectPr>
      </w:pPr>
    </w:p>
    <w:p w14:paraId="230DE648">
      <w:pPr>
        <w:widowControl/>
        <w:wordWrap w:val="0"/>
        <w:spacing w:line="576" w:lineRule="exact"/>
        <w:jc w:val="left"/>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附件2：</w:t>
      </w:r>
    </w:p>
    <w:p w14:paraId="5F743EFB">
      <w:pPr>
        <w:widowControl/>
        <w:wordWrap w:val="0"/>
        <w:spacing w:line="576" w:lineRule="exact"/>
        <w:jc w:val="center"/>
        <w:rPr>
          <w:rFonts w:hint="default" w:ascii="Times New Roman" w:hAnsi="Times New Roman" w:eastAsia="方正小标宋简体" w:cs="Times New Roman"/>
          <w:bCs/>
          <w:color w:val="auto"/>
          <w:sz w:val="44"/>
          <w:szCs w:val="44"/>
        </w:rPr>
      </w:pPr>
      <w:r>
        <w:rPr>
          <w:rFonts w:hint="default" w:ascii="Times New Roman" w:hAnsi="Times New Roman" w:eastAsia="方正小标宋简体" w:cs="Times New Roman"/>
          <w:color w:val="auto"/>
          <w:kern w:val="0"/>
          <w:sz w:val="44"/>
          <w:szCs w:val="44"/>
        </w:rPr>
        <w:t>名词解释</w:t>
      </w:r>
    </w:p>
    <w:p w14:paraId="14532172">
      <w:pPr>
        <w:spacing w:line="576" w:lineRule="exact"/>
        <w:ind w:firstLine="640" w:firstLineChars="200"/>
        <w:rPr>
          <w:rFonts w:hint="default" w:ascii="Times New Roman" w:hAnsi="Times New Roman" w:eastAsia="黑体" w:cs="Times New Roman"/>
          <w:bCs/>
          <w:color w:val="auto"/>
          <w:sz w:val="32"/>
          <w:szCs w:val="32"/>
        </w:rPr>
      </w:pPr>
    </w:p>
    <w:p w14:paraId="78E5B93B">
      <w:pPr>
        <w:spacing w:line="576" w:lineRule="exact"/>
        <w:ind w:firstLine="640" w:firstLineChars="200"/>
        <w:rPr>
          <w:rFonts w:hint="default" w:ascii="Times New Roman" w:hAnsi="Times New Roman" w:eastAsia="仿宋_GB2312" w:cs="Times New Roman"/>
          <w:bCs/>
          <w:color w:val="auto"/>
          <w:sz w:val="32"/>
          <w:szCs w:val="32"/>
        </w:rPr>
      </w:pPr>
      <w:r>
        <w:rPr>
          <w:rFonts w:hint="default" w:ascii="Times New Roman" w:hAnsi="Times New Roman" w:eastAsia="黑体" w:cs="Times New Roman"/>
          <w:bCs/>
          <w:color w:val="auto"/>
          <w:sz w:val="32"/>
          <w:szCs w:val="32"/>
        </w:rPr>
        <w:t>1.民生支出：</w:t>
      </w:r>
      <w:r>
        <w:rPr>
          <w:rFonts w:hint="default" w:ascii="Times New Roman" w:hAnsi="Times New Roman" w:eastAsia="仿宋_GB2312" w:cs="Times New Roman"/>
          <w:bCs/>
          <w:color w:val="auto"/>
          <w:sz w:val="32"/>
          <w:szCs w:val="32"/>
        </w:rPr>
        <w:t>为保证和财政部统计口径衔接，科学衡量安徽财政民生投入，我省将教育、科学技术、文化旅游体育与传媒、社会保障和就业、卫生健康、节能环保、城乡社区、农林水、交通运输、商业服务业等事务、自然资源海洋气象等事务、住房保障、粮油物资储备等13个方面确定为财政民生支出统计范围。</w:t>
      </w:r>
    </w:p>
    <w:p w14:paraId="6B6A1252">
      <w:pPr>
        <w:spacing w:line="576" w:lineRule="exact"/>
        <w:ind w:firstLine="640" w:firstLineChars="200"/>
        <w:rPr>
          <w:rFonts w:hint="default" w:ascii="Times New Roman" w:hAnsi="Times New Roman" w:eastAsia="仿宋_GB2312" w:cs="Times New Roman"/>
          <w:bCs/>
          <w:color w:val="auto"/>
          <w:sz w:val="32"/>
          <w:szCs w:val="32"/>
        </w:rPr>
      </w:pPr>
      <w:r>
        <w:rPr>
          <w:rFonts w:hint="default" w:ascii="Times New Roman" w:hAnsi="Times New Roman" w:eastAsia="黑体" w:cs="Times New Roman"/>
          <w:bCs/>
          <w:color w:val="auto"/>
          <w:sz w:val="32"/>
          <w:szCs w:val="32"/>
        </w:rPr>
        <w:t>2.政府性债务：</w:t>
      </w:r>
      <w:r>
        <w:rPr>
          <w:rFonts w:hint="default" w:ascii="Times New Roman" w:hAnsi="Times New Roman" w:eastAsia="仿宋_GB2312" w:cs="Times New Roman"/>
          <w:bCs/>
          <w:color w:val="auto"/>
          <w:sz w:val="32"/>
          <w:szCs w:val="32"/>
        </w:rPr>
        <w:t>是指机关事业单位及政府专门成立的机构为提供基础性、公益性服务直接借入债务</w:t>
      </w:r>
      <w:r>
        <w:rPr>
          <w:rFonts w:hint="eastAsia" w:ascii="Times New Roman" w:hAnsi="Times New Roman" w:eastAsia="仿宋_GB2312" w:cs="Times New Roman"/>
          <w:bCs/>
          <w:color w:val="auto"/>
          <w:sz w:val="32"/>
          <w:szCs w:val="32"/>
          <w:lang w:eastAsia="zh-CN"/>
        </w:rPr>
        <w:t>、</w:t>
      </w:r>
      <w:r>
        <w:rPr>
          <w:rFonts w:hint="default" w:ascii="Times New Roman" w:hAnsi="Times New Roman" w:eastAsia="仿宋_GB2312" w:cs="Times New Roman"/>
          <w:bCs/>
          <w:color w:val="auto"/>
          <w:sz w:val="32"/>
          <w:szCs w:val="32"/>
        </w:rPr>
        <w:t>政府机关提供担保形成的债务和政府机关提供担保形成的债务。包括负有直接偿还责任债务（一类债务）、负有担保责任债务（二类债务）和承担一定救助责任债务（三类债务）。</w:t>
      </w:r>
    </w:p>
    <w:p w14:paraId="344A8CFD">
      <w:pPr>
        <w:spacing w:line="576" w:lineRule="exact"/>
        <w:ind w:firstLine="640" w:firstLineChars="200"/>
        <w:rPr>
          <w:rFonts w:hint="default" w:ascii="Times New Roman" w:hAnsi="Times New Roman" w:eastAsia="仿宋_GB2312" w:cs="Times New Roman"/>
          <w:bCs/>
          <w:color w:val="auto"/>
          <w:sz w:val="32"/>
          <w:szCs w:val="32"/>
        </w:rPr>
      </w:pPr>
      <w:r>
        <w:rPr>
          <w:rFonts w:hint="default" w:ascii="Times New Roman" w:hAnsi="Times New Roman" w:eastAsia="黑体" w:cs="Times New Roman"/>
          <w:bCs/>
          <w:color w:val="auto"/>
          <w:sz w:val="32"/>
          <w:szCs w:val="32"/>
        </w:rPr>
        <w:t>3.专项债券：</w:t>
      </w:r>
      <w:r>
        <w:rPr>
          <w:rFonts w:hint="default" w:ascii="Times New Roman" w:hAnsi="Times New Roman" w:eastAsia="仿宋_GB2312" w:cs="Times New Roman"/>
          <w:bCs/>
          <w:color w:val="auto"/>
          <w:sz w:val="32"/>
          <w:szCs w:val="32"/>
        </w:rPr>
        <w:t>是地方政府债券的一种，指为了筹集资金建设某专项具体工程而发行的债券。专项债券（收益债券）和一般债券（普通债券）的区别是：前者是指为了筹集资金建设某专项具体工程而发行的债券，后者是指地方政府为了缓解资金紧张或解决临时经费不足而发行的债券。</w:t>
      </w:r>
    </w:p>
    <w:p w14:paraId="07BCC4B5">
      <w:pPr>
        <w:spacing w:line="576" w:lineRule="exact"/>
        <w:ind w:firstLine="640" w:firstLineChars="200"/>
        <w:rPr>
          <w:rFonts w:hint="default" w:ascii="Times New Roman" w:hAnsi="Times New Roman" w:eastAsia="仿宋_GB2312" w:cs="Times New Roman"/>
          <w:color w:val="auto"/>
          <w:sz w:val="32"/>
          <w:szCs w:val="32"/>
        </w:rPr>
      </w:pPr>
      <w:r>
        <w:rPr>
          <w:rFonts w:hint="eastAsia" w:ascii="Times New Roman" w:hAnsi="Times New Roman" w:eastAsia="黑体" w:cs="Times New Roman"/>
          <w:bCs/>
          <w:color w:val="auto"/>
          <w:sz w:val="32"/>
          <w:szCs w:val="32"/>
          <w:lang w:val="en-US" w:eastAsia="zh-CN"/>
        </w:rPr>
        <w:t>4</w:t>
      </w:r>
      <w:r>
        <w:rPr>
          <w:rFonts w:hint="default" w:ascii="Times New Roman" w:hAnsi="Times New Roman" w:eastAsia="黑体" w:cs="Times New Roman"/>
          <w:bCs/>
          <w:color w:val="auto"/>
          <w:sz w:val="32"/>
          <w:szCs w:val="32"/>
        </w:rPr>
        <w:t>.零基预算：</w:t>
      </w:r>
      <w:r>
        <w:rPr>
          <w:rFonts w:hint="default" w:ascii="Times New Roman" w:hAnsi="Times New Roman" w:eastAsia="仿宋_GB2312" w:cs="Times New Roman"/>
          <w:color w:val="auto"/>
          <w:sz w:val="32"/>
          <w:szCs w:val="32"/>
        </w:rPr>
        <w:t>是指不考虑过去的预算项目和收支水平，以零为基点编制的预算，具体指不受以往预算安排情况的影响，一切从实际需要出发，逐项审议预算年度内各项费用的内容及其开支标准，结合财力状况，在综合平衡的基础上编制预算的一种科学的现代预算编制方法。</w:t>
      </w:r>
    </w:p>
    <w:p w14:paraId="41917F5C">
      <w:pPr>
        <w:spacing w:line="576" w:lineRule="exact"/>
        <w:ind w:firstLine="640" w:firstLineChars="200"/>
        <w:rPr>
          <w:rFonts w:hint="default" w:ascii="Times New Roman" w:hAnsi="Times New Roman" w:eastAsia="仿宋_GB2312" w:cs="Times New Roman"/>
          <w:bCs/>
          <w:color w:val="auto"/>
          <w:sz w:val="32"/>
          <w:szCs w:val="32"/>
        </w:rPr>
      </w:pPr>
      <w:r>
        <w:rPr>
          <w:rFonts w:hint="eastAsia" w:ascii="Times New Roman" w:hAnsi="Times New Roman" w:eastAsia="黑体" w:cs="Times New Roman"/>
          <w:bCs/>
          <w:color w:val="auto"/>
          <w:sz w:val="32"/>
          <w:szCs w:val="32"/>
          <w:lang w:val="en-US" w:eastAsia="zh-CN"/>
        </w:rPr>
        <w:t>5</w:t>
      </w:r>
      <w:r>
        <w:rPr>
          <w:rFonts w:hint="default" w:ascii="Times New Roman" w:hAnsi="Times New Roman" w:eastAsia="黑体" w:cs="Times New Roman"/>
          <w:bCs/>
          <w:color w:val="auto"/>
          <w:sz w:val="32"/>
          <w:szCs w:val="32"/>
        </w:rPr>
        <w:t>.预算管理一体化：</w:t>
      </w:r>
      <w:r>
        <w:rPr>
          <w:rFonts w:hint="default" w:ascii="Times New Roman" w:hAnsi="Times New Roman" w:eastAsia="仿宋_GB2312" w:cs="Times New Roman"/>
          <w:bCs/>
          <w:color w:val="auto"/>
          <w:sz w:val="32"/>
          <w:szCs w:val="32"/>
        </w:rPr>
        <w:t>以统一预算管理规则为核心，以预算管理一体化系统为主要载体，将统一的管理规则嵌入信息系统，提高项目储备、预算编审、预算调整和调剂、资金支付、会计核算、决算和报告等工作的标准化、自动化水平，实现对预算管理全流程的动态反映和有效控制，保证各级预算管理规范高效。</w:t>
      </w:r>
    </w:p>
    <w:p w14:paraId="102AA7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cs="Times New Roman"/>
          <w:color w:val="auto"/>
        </w:rPr>
      </w:pPr>
      <w:r>
        <w:rPr>
          <w:rFonts w:hint="eastAsia" w:ascii="Times New Roman" w:hAnsi="Times New Roman" w:eastAsia="黑体" w:cs="Times New Roman"/>
          <w:bCs/>
          <w:color w:val="auto"/>
          <w:sz w:val="32"/>
          <w:szCs w:val="32"/>
          <w:lang w:val="en-US" w:eastAsia="zh-CN"/>
        </w:rPr>
        <w:t>6</w:t>
      </w:r>
      <w:r>
        <w:rPr>
          <w:rFonts w:hint="default" w:ascii="Times New Roman" w:hAnsi="Times New Roman" w:eastAsia="黑体" w:cs="Times New Roman"/>
          <w:bCs/>
          <w:color w:val="auto"/>
          <w:sz w:val="32"/>
          <w:szCs w:val="32"/>
        </w:rPr>
        <w:t>.超长期特别国债：</w:t>
      </w:r>
      <w:r>
        <w:rPr>
          <w:rFonts w:hint="default" w:ascii="Times New Roman" w:hAnsi="Times New Roman" w:eastAsia="仿宋_GB2312" w:cs="Times New Roman"/>
          <w:bCs/>
          <w:color w:val="auto"/>
          <w:sz w:val="32"/>
          <w:szCs w:val="32"/>
        </w:rPr>
        <w:t>一般指发行期限在10年以上的，为特定目标发行的、具有明确用途的</w:t>
      </w:r>
      <w:r>
        <w:rPr>
          <w:rFonts w:hint="default" w:ascii="Times New Roman" w:hAnsi="Times New Roman" w:eastAsia="仿宋_GB2312" w:cs="Times New Roman"/>
          <w:bCs/>
          <w:color w:val="auto"/>
          <w:sz w:val="32"/>
          <w:szCs w:val="32"/>
        </w:rPr>
        <w:fldChar w:fldCharType="begin"/>
      </w:r>
      <w:r>
        <w:rPr>
          <w:rFonts w:hint="default" w:ascii="Times New Roman" w:hAnsi="Times New Roman" w:eastAsia="仿宋_GB2312" w:cs="Times New Roman"/>
          <w:bCs/>
          <w:color w:val="auto"/>
          <w:sz w:val="32"/>
          <w:szCs w:val="32"/>
        </w:rPr>
        <w:instrText xml:space="preserve"> HYPERLINK "https://baike.baidu.com/item/%E5%9B%BD%E5%80%BA/801020?fromModule=lemma_inlink" \t "https://baike.baidu.com/item/%E8%B6%85%E9%95%BF%E6%9C%9F%E7%89%B9%E5%88%AB%E5%9B%BD%E5%80%BA/_blank" </w:instrText>
      </w:r>
      <w:r>
        <w:rPr>
          <w:rFonts w:hint="default" w:ascii="Times New Roman" w:hAnsi="Times New Roman" w:eastAsia="仿宋_GB2312" w:cs="Times New Roman"/>
          <w:bCs/>
          <w:color w:val="auto"/>
          <w:sz w:val="32"/>
          <w:szCs w:val="32"/>
        </w:rPr>
        <w:fldChar w:fldCharType="separate"/>
      </w:r>
      <w:r>
        <w:rPr>
          <w:rFonts w:hint="default" w:ascii="Times New Roman" w:hAnsi="Times New Roman" w:eastAsia="仿宋_GB2312" w:cs="Times New Roman"/>
          <w:bCs/>
          <w:color w:val="auto"/>
          <w:sz w:val="32"/>
          <w:szCs w:val="32"/>
        </w:rPr>
        <w:t>国债</w:t>
      </w:r>
      <w:r>
        <w:rPr>
          <w:rFonts w:hint="default" w:ascii="Times New Roman" w:hAnsi="Times New Roman" w:eastAsia="仿宋_GB2312" w:cs="Times New Roman"/>
          <w:bCs/>
          <w:color w:val="auto"/>
          <w:sz w:val="32"/>
          <w:szCs w:val="32"/>
        </w:rPr>
        <w:fldChar w:fldCharType="end"/>
      </w:r>
      <w:r>
        <w:rPr>
          <w:rFonts w:hint="default" w:ascii="Times New Roman" w:hAnsi="Times New Roman" w:eastAsia="仿宋_GB2312" w:cs="Times New Roman"/>
          <w:bCs/>
          <w:color w:val="auto"/>
          <w:sz w:val="32"/>
          <w:szCs w:val="32"/>
        </w:rPr>
        <w:t>。超长期特别国债专项用于国家重大战略实施和重点领域安全能力建设，2024年先发行1万亿元，期限分别为20年、30年、50年。</w:t>
      </w:r>
    </w:p>
    <w:p w14:paraId="4EEFD5FA">
      <w:pPr>
        <w:rPr>
          <w:rFonts w:hint="default" w:ascii="Times New Roman" w:hAnsi="Times New Roman" w:cs="Times New Roman"/>
          <w:color w:val="auto"/>
        </w:rPr>
      </w:pPr>
    </w:p>
    <w:p w14:paraId="1EF1DCB1">
      <w:pPr>
        <w:pStyle w:val="2"/>
        <w:rPr>
          <w:rFonts w:hint="default"/>
        </w:rPr>
      </w:pPr>
    </w:p>
    <w:sectPr>
      <w:headerReference r:id="rId9" w:type="default"/>
      <w:footerReference r:id="rId10" w:type="default"/>
      <w:pgSz w:w="11906" w:h="16838"/>
      <w:pgMar w:top="2098" w:right="1417" w:bottom="1984" w:left="1701" w:header="851" w:footer="1417" w:gutter="0"/>
      <w:pgBorders>
        <w:top w:val="none" w:sz="0" w:space="0"/>
        <w:left w:val="none" w:sz="0" w:space="0"/>
        <w:bottom w:val="none" w:sz="0" w:space="0"/>
        <w:right w:val="none" w:sz="0" w:space="0"/>
      </w:pgBorders>
      <w:cols w:space="0" w:num="1"/>
      <w:docGrid w:type="linesAndChars" w:linePitch="2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693BB">
    <w:pPr>
      <w:pStyle w:val="13"/>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42F7B9">
                          <w:pPr>
                            <w:pStyle w:val="13"/>
                            <w:rPr>
                              <w:rFonts w:ascii="宋体" w:cs="宋体"/>
                              <w:sz w:val="28"/>
                              <w:szCs w:val="28"/>
                            </w:rPr>
                          </w:pPr>
                          <w:r>
                            <w:rPr>
                              <w:rFonts w:ascii="宋体" w:hAnsi="宋体" w:cs="宋体"/>
                              <w:color w:val="FFFFFF"/>
                              <w:sz w:val="28"/>
                              <w:szCs w:val="28"/>
                            </w:rPr>
                            <w:t>—</w:t>
                          </w:r>
                          <w:r>
                            <w:rPr>
                              <w:rFonts w:ascii="宋体" w:hAnsi="宋体" w:cs="宋体"/>
                              <w:sz w:val="28"/>
                              <w:szCs w:val="28"/>
                            </w:rPr>
                            <w:t xml:space="preserve">— </w:t>
                          </w:r>
                          <w:r>
                            <w:rPr>
                              <w:rFonts w:ascii="宋体" w:hAnsi="宋体" w:cs="宋体"/>
                              <w:sz w:val="28"/>
                              <w:szCs w:val="28"/>
                            </w:rPr>
                            <w:fldChar w:fldCharType="begin"/>
                          </w:r>
                          <w:r>
                            <w:rPr>
                              <w:rFonts w:ascii="宋体" w:hAnsi="宋体" w:cs="宋体"/>
                              <w:sz w:val="28"/>
                              <w:szCs w:val="28"/>
                            </w:rPr>
                            <w:instrText xml:space="preserve"> PAGE  \* MERGEFORMAT </w:instrText>
                          </w:r>
                          <w:r>
                            <w:rPr>
                              <w:rFonts w:ascii="宋体" w:hAnsi="宋体" w:cs="宋体"/>
                              <w:sz w:val="28"/>
                              <w:szCs w:val="28"/>
                            </w:rPr>
                            <w:fldChar w:fldCharType="separate"/>
                          </w:r>
                          <w:r>
                            <w:rPr>
                              <w:rFonts w:ascii="宋体" w:hAnsi="宋体" w:cs="宋体"/>
                              <w:sz w:val="28"/>
                              <w:szCs w:val="28"/>
                            </w:rPr>
                            <w:t>7</w:t>
                          </w:r>
                          <w:r>
                            <w:rPr>
                              <w:rFonts w:ascii="宋体" w:hAnsi="宋体" w:cs="宋体"/>
                              <w:sz w:val="28"/>
                              <w:szCs w:val="28"/>
                            </w:rPr>
                            <w:fldChar w:fldCharType="end"/>
                          </w:r>
                          <w:r>
                            <w:rPr>
                              <w:rFonts w:ascii="宋体" w:hAnsi="宋体" w:cs="宋体"/>
                              <w:sz w:val="28"/>
                              <w:szCs w:val="28"/>
                            </w:rPr>
                            <w:t xml:space="preserve"> —</w:t>
                          </w:r>
                          <w:r>
                            <w:rPr>
                              <w:rFonts w:ascii="宋体" w:hAnsi="宋体" w:cs="宋体"/>
                              <w:color w:val="FFFFFF"/>
                              <w:sz w:val="28"/>
                              <w:szCs w:val="28"/>
                            </w:rPr>
                            <w:t>—</w:t>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onHTYzAEAAJwDAAAOAAAAAAAAAAEAIAAAAB4BAABkcnMvZTJv&#10;RG9jLnhtbFBLBQYAAAAABgAGAFkBAABcBQAAAAA=&#10;">
              <v:fill on="f" focussize="0,0"/>
              <v:stroke on="f"/>
              <v:imagedata o:title=""/>
              <o:lock v:ext="edit" aspectratio="f"/>
              <v:textbox inset="0mm,0mm,0mm,0mm" style="mso-fit-shape-to-text:t;">
                <w:txbxContent>
                  <w:p w14:paraId="1842F7B9">
                    <w:pPr>
                      <w:pStyle w:val="13"/>
                      <w:rPr>
                        <w:rFonts w:ascii="宋体" w:cs="宋体"/>
                        <w:sz w:val="28"/>
                        <w:szCs w:val="28"/>
                      </w:rPr>
                    </w:pPr>
                    <w:r>
                      <w:rPr>
                        <w:rFonts w:ascii="宋体" w:hAnsi="宋体" w:cs="宋体"/>
                        <w:color w:val="FFFFFF"/>
                        <w:sz w:val="28"/>
                        <w:szCs w:val="28"/>
                      </w:rPr>
                      <w:t>—</w:t>
                    </w:r>
                    <w:r>
                      <w:rPr>
                        <w:rFonts w:ascii="宋体" w:hAnsi="宋体" w:cs="宋体"/>
                        <w:sz w:val="28"/>
                        <w:szCs w:val="28"/>
                      </w:rPr>
                      <w:t xml:space="preserve">— </w:t>
                    </w:r>
                    <w:r>
                      <w:rPr>
                        <w:rFonts w:ascii="宋体" w:hAnsi="宋体" w:cs="宋体"/>
                        <w:sz w:val="28"/>
                        <w:szCs w:val="28"/>
                      </w:rPr>
                      <w:fldChar w:fldCharType="begin"/>
                    </w:r>
                    <w:r>
                      <w:rPr>
                        <w:rFonts w:ascii="宋体" w:hAnsi="宋体" w:cs="宋体"/>
                        <w:sz w:val="28"/>
                        <w:szCs w:val="28"/>
                      </w:rPr>
                      <w:instrText xml:space="preserve"> PAGE  \* MERGEFORMAT </w:instrText>
                    </w:r>
                    <w:r>
                      <w:rPr>
                        <w:rFonts w:ascii="宋体" w:hAnsi="宋体" w:cs="宋体"/>
                        <w:sz w:val="28"/>
                        <w:szCs w:val="28"/>
                      </w:rPr>
                      <w:fldChar w:fldCharType="separate"/>
                    </w:r>
                    <w:r>
                      <w:rPr>
                        <w:rFonts w:ascii="宋体" w:hAnsi="宋体" w:cs="宋体"/>
                        <w:sz w:val="28"/>
                        <w:szCs w:val="28"/>
                      </w:rPr>
                      <w:t>7</w:t>
                    </w:r>
                    <w:r>
                      <w:rPr>
                        <w:rFonts w:ascii="宋体" w:hAnsi="宋体" w:cs="宋体"/>
                        <w:sz w:val="28"/>
                        <w:szCs w:val="28"/>
                      </w:rPr>
                      <w:fldChar w:fldCharType="end"/>
                    </w:r>
                    <w:r>
                      <w:rPr>
                        <w:rFonts w:ascii="宋体" w:hAnsi="宋体" w:cs="宋体"/>
                        <w:sz w:val="28"/>
                        <w:szCs w:val="28"/>
                      </w:rPr>
                      <w:t xml:space="preserve"> —</w:t>
                    </w:r>
                    <w:r>
                      <w:rPr>
                        <w:rFonts w:ascii="宋体" w:hAnsi="宋体" w:cs="宋体"/>
                        <w:color w:val="FFFFFF"/>
                        <w:sz w:val="28"/>
                        <w:szCs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94DC0">
    <w:pPr>
      <w:pStyle w:val="13"/>
      <w:framePr w:wrap="around" w:vAnchor="text" w:hAnchor="page" w:x="1974" w:y="181"/>
      <w:ind w:firstLine="280" w:firstLineChars="100"/>
      <w:rPr>
        <w:rStyle w:val="19"/>
        <w:rFonts w:ascii="宋体" w:cs="Calibri"/>
        <w:sz w:val="28"/>
        <w:szCs w:val="28"/>
      </w:rPr>
    </w:pPr>
    <w:r>
      <w:rPr>
        <w:rStyle w:val="19"/>
        <w:rFonts w:ascii="宋体" w:hAnsi="宋体" w:cs="Calibri"/>
        <w:sz w:val="28"/>
        <w:szCs w:val="28"/>
      </w:rPr>
      <w:t xml:space="preserve">— </w:t>
    </w:r>
    <w:r>
      <w:rPr>
        <w:rStyle w:val="19"/>
        <w:rFonts w:ascii="宋体" w:hAnsi="宋体" w:cs="Calibri"/>
        <w:sz w:val="28"/>
        <w:szCs w:val="28"/>
      </w:rPr>
      <w:fldChar w:fldCharType="begin"/>
    </w:r>
    <w:r>
      <w:rPr>
        <w:rStyle w:val="19"/>
        <w:rFonts w:ascii="宋体" w:hAnsi="宋体" w:cs="Calibri"/>
        <w:sz w:val="28"/>
        <w:szCs w:val="28"/>
      </w:rPr>
      <w:instrText xml:space="preserve">PAGE  </w:instrText>
    </w:r>
    <w:r>
      <w:rPr>
        <w:rStyle w:val="19"/>
        <w:rFonts w:ascii="宋体" w:hAnsi="宋体" w:cs="Calibri"/>
        <w:sz w:val="28"/>
        <w:szCs w:val="28"/>
      </w:rPr>
      <w:fldChar w:fldCharType="separate"/>
    </w:r>
    <w:r>
      <w:rPr>
        <w:rStyle w:val="19"/>
        <w:rFonts w:ascii="宋体" w:hAnsi="宋体" w:cs="Calibri"/>
        <w:sz w:val="28"/>
        <w:szCs w:val="28"/>
      </w:rPr>
      <w:t>6</w:t>
    </w:r>
    <w:r>
      <w:rPr>
        <w:rStyle w:val="19"/>
        <w:rFonts w:ascii="宋体" w:hAnsi="宋体" w:cs="Calibri"/>
        <w:sz w:val="28"/>
        <w:szCs w:val="28"/>
      </w:rPr>
      <w:fldChar w:fldCharType="end"/>
    </w:r>
    <w:r>
      <w:rPr>
        <w:rFonts w:ascii="宋体" w:hAnsi="宋体"/>
        <w:sz w:val="28"/>
        <w:szCs w:val="28"/>
      </w:rPr>
      <w:t xml:space="preserve"> </w:t>
    </w:r>
    <w:r>
      <w:rPr>
        <w:rStyle w:val="19"/>
        <w:rFonts w:ascii="宋体" w:hAnsi="宋体" w:cs="Calibri"/>
        <w:sz w:val="28"/>
        <w:szCs w:val="28"/>
      </w:rPr>
      <w:t>—</w:t>
    </w:r>
  </w:p>
  <w:p w14:paraId="02E6465D">
    <w:pPr>
      <w:pStyle w:val="1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EC316">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63BBA">
    <w:pPr>
      <w:pStyle w:val="13"/>
      <w:ind w:right="360" w:firstLine="360"/>
      <w:rPr>
        <w:rFonts w:cs="Times New Roman"/>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6F410F">
                          <w:pPr>
                            <w:pStyle w:val="13"/>
                            <w:rPr>
                              <w:rFonts w:ascii="宋体" w:cs="宋体"/>
                              <w:sz w:val="28"/>
                              <w:szCs w:val="28"/>
                            </w:rPr>
                          </w:pPr>
                          <w:r>
                            <w:rPr>
                              <w:rFonts w:ascii="宋体" w:hAnsi="宋体" w:cs="宋体"/>
                              <w:sz w:val="28"/>
                              <w:szCs w:val="28"/>
                            </w:rPr>
                            <w:t xml:space="preserve">— </w:t>
                          </w:r>
                          <w:r>
                            <w:rPr>
                              <w:rFonts w:ascii="宋体" w:hAnsi="宋体" w:cs="宋体"/>
                              <w:sz w:val="28"/>
                              <w:szCs w:val="28"/>
                            </w:rPr>
                            <w:fldChar w:fldCharType="begin"/>
                          </w:r>
                          <w:r>
                            <w:rPr>
                              <w:rFonts w:ascii="宋体" w:hAnsi="宋体" w:cs="宋体"/>
                              <w:sz w:val="28"/>
                              <w:szCs w:val="28"/>
                            </w:rPr>
                            <w:instrText xml:space="preserve"> PAGE  \* MERGEFORMAT </w:instrText>
                          </w:r>
                          <w:r>
                            <w:rPr>
                              <w:rFonts w:ascii="宋体" w:hAnsi="宋体" w:cs="宋体"/>
                              <w:sz w:val="28"/>
                              <w:szCs w:val="28"/>
                            </w:rPr>
                            <w:fldChar w:fldCharType="separate"/>
                          </w:r>
                          <w:r>
                            <w:rPr>
                              <w:rFonts w:ascii="宋体" w:hAnsi="宋体" w:cs="宋体"/>
                              <w:sz w:val="28"/>
                              <w:szCs w:val="28"/>
                            </w:rPr>
                            <w:t>19</w:t>
                          </w:r>
                          <w:r>
                            <w:rPr>
                              <w:rFonts w:ascii="宋体" w:hAnsi="宋体" w:cs="宋体"/>
                              <w:sz w:val="28"/>
                              <w:szCs w:val="28"/>
                            </w:rPr>
                            <w:fldChar w:fldCharType="end"/>
                          </w:r>
                          <w:r>
                            <w:rPr>
                              <w:rFonts w:ascii="宋体" w:hAnsi="宋体" w:cs="宋体"/>
                              <w:sz w:val="28"/>
                              <w:szCs w:val="28"/>
                            </w:rPr>
                            <w:t xml:space="preserve"> —</w:t>
                          </w:r>
                        </w:p>
                      </w:txbxContent>
                    </wps:txbx>
                    <wps:bodyPr wrap="none" lIns="0" tIns="0" rIns="0" bIns="0" upright="1">
                      <a:spAutoFit/>
                    </wps:bodyPr>
                  </wps:wsp>
                </a:graphicData>
              </a:graphic>
            </wp:anchor>
          </w:drawing>
        </mc:Choice>
        <mc:Fallback>
          <w:pict>
            <v:shape id="文本框 102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bJ+8PLAQAAnAMAAA4AAAAAAAAAAQAgAAAAHgEAAGRycy9lMm9E&#10;b2MueG1sUEsFBgAAAAAGAAYAWQEAAFsFAAAAAA==&#10;">
              <v:fill on="f" focussize="0,0"/>
              <v:stroke on="f"/>
              <v:imagedata o:title=""/>
              <o:lock v:ext="edit" aspectratio="f"/>
              <v:textbox inset="0mm,0mm,0mm,0mm" style="mso-fit-shape-to-text:t;">
                <w:txbxContent>
                  <w:p w14:paraId="4A6F410F">
                    <w:pPr>
                      <w:pStyle w:val="13"/>
                      <w:rPr>
                        <w:rFonts w:ascii="宋体" w:cs="宋体"/>
                        <w:sz w:val="28"/>
                        <w:szCs w:val="28"/>
                      </w:rPr>
                    </w:pPr>
                    <w:r>
                      <w:rPr>
                        <w:rFonts w:ascii="宋体" w:hAnsi="宋体" w:cs="宋体"/>
                        <w:sz w:val="28"/>
                        <w:szCs w:val="28"/>
                      </w:rPr>
                      <w:t xml:space="preserve">— </w:t>
                    </w:r>
                    <w:r>
                      <w:rPr>
                        <w:rFonts w:ascii="宋体" w:hAnsi="宋体" w:cs="宋体"/>
                        <w:sz w:val="28"/>
                        <w:szCs w:val="28"/>
                      </w:rPr>
                      <w:fldChar w:fldCharType="begin"/>
                    </w:r>
                    <w:r>
                      <w:rPr>
                        <w:rFonts w:ascii="宋体" w:hAnsi="宋体" w:cs="宋体"/>
                        <w:sz w:val="28"/>
                        <w:szCs w:val="28"/>
                      </w:rPr>
                      <w:instrText xml:space="preserve"> PAGE  \* MERGEFORMAT </w:instrText>
                    </w:r>
                    <w:r>
                      <w:rPr>
                        <w:rFonts w:ascii="宋体" w:hAnsi="宋体" w:cs="宋体"/>
                        <w:sz w:val="28"/>
                        <w:szCs w:val="28"/>
                      </w:rPr>
                      <w:fldChar w:fldCharType="separate"/>
                    </w:r>
                    <w:r>
                      <w:rPr>
                        <w:rFonts w:ascii="宋体" w:hAnsi="宋体" w:cs="宋体"/>
                        <w:sz w:val="28"/>
                        <w:szCs w:val="28"/>
                      </w:rPr>
                      <w:t>19</w:t>
                    </w:r>
                    <w:r>
                      <w:rPr>
                        <w:rFonts w:ascii="宋体" w:hAnsi="宋体" w:cs="宋体"/>
                        <w:sz w:val="28"/>
                        <w:szCs w:val="28"/>
                      </w:rPr>
                      <w:fldChar w:fldCharType="end"/>
                    </w:r>
                    <w:r>
                      <w:rPr>
                        <w:rFonts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75B59">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73C88">
    <w:pPr>
      <w:pStyle w:val="1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CAE5B">
    <w:pPr>
      <w:pStyle w:val="1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3DCCC">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8C77FD"/>
    <w:multiLevelType w:val="singleLevel"/>
    <w:tmpl w:val="BA8C77FD"/>
    <w:lvl w:ilvl="0" w:tentative="0">
      <w:start w:val="1"/>
      <w:numFmt w:val="bullet"/>
      <w:pStyle w:val="9"/>
      <w:lvlText w:val=""/>
      <w:lvlJc w:val="left"/>
      <w:pPr>
        <w:tabs>
          <w:tab w:val="left" w:pos="2040"/>
        </w:tabs>
        <w:ind w:left="2040" w:hanging="360"/>
      </w:pPr>
      <w:rPr>
        <w:rFonts w:hint="default" w:ascii="Wingdings" w:hAnsi="Wingdings"/>
      </w:rPr>
    </w:lvl>
  </w:abstractNum>
  <w:abstractNum w:abstractNumId="1">
    <w:nsid w:val="392005AE"/>
    <w:multiLevelType w:val="singleLevel"/>
    <w:tmpl w:val="392005AE"/>
    <w:lvl w:ilvl="0" w:tentative="0">
      <w:start w:val="2"/>
      <w:numFmt w:val="decimal"/>
      <w:suff w:val="space"/>
      <w:lvlText w:val="%1."/>
      <w:lvlJc w:val="left"/>
    </w:lvl>
  </w:abstractNum>
  <w:abstractNum w:abstractNumId="2">
    <w:nsid w:val="4D7BB769"/>
    <w:multiLevelType w:val="singleLevel"/>
    <w:tmpl w:val="4D7BB769"/>
    <w:lvl w:ilvl="0" w:tentative="0">
      <w:start w:val="1"/>
      <w:numFmt w:val="chineseCounting"/>
      <w:suff w:val="nothing"/>
      <w:lvlText w:val="（%1）"/>
      <w:lvlJc w:val="left"/>
      <w:rPr>
        <w:rFonts w:hint="eastAsia" w:ascii="楷体_GB2312" w:hAnsi="楷体_GB2312" w:eastAsia="楷体_GB2312" w:cs="楷体_GB2312"/>
        <w:b/>
        <w:bCs/>
        <w:color w:val="auto"/>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mirrorMargins w:val="1"/>
  <w:bordersDoNotSurroundHeader w:val="0"/>
  <w:bordersDoNotSurroundFooter w:val="0"/>
  <w:documentProtection w:enforcement="0"/>
  <w:defaultTabStop w:val="420"/>
  <w:doNotHyphenateCaps/>
  <w:drawingGridHorizontalSpacing w:val="105"/>
  <w:drawingGridVerticalSpacing w:val="295"/>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YzZjYmJhY2UwOWEzMzM0Y2U0Mjk3ZmJmMGExOTMifQ=="/>
  </w:docVars>
  <w:rsids>
    <w:rsidRoot w:val="00CC1453"/>
    <w:rsid w:val="00010C9B"/>
    <w:rsid w:val="000151F8"/>
    <w:rsid w:val="000178FE"/>
    <w:rsid w:val="00017949"/>
    <w:rsid w:val="00030AFA"/>
    <w:rsid w:val="00045952"/>
    <w:rsid w:val="00066419"/>
    <w:rsid w:val="00074AC8"/>
    <w:rsid w:val="00091F24"/>
    <w:rsid w:val="000C7787"/>
    <w:rsid w:val="000D3749"/>
    <w:rsid w:val="000F4BBB"/>
    <w:rsid w:val="0011217C"/>
    <w:rsid w:val="00115400"/>
    <w:rsid w:val="00127E0A"/>
    <w:rsid w:val="00135AF2"/>
    <w:rsid w:val="00140FED"/>
    <w:rsid w:val="001437AD"/>
    <w:rsid w:val="00147A9D"/>
    <w:rsid w:val="0015211C"/>
    <w:rsid w:val="0016020D"/>
    <w:rsid w:val="00163527"/>
    <w:rsid w:val="001773D7"/>
    <w:rsid w:val="0018033F"/>
    <w:rsid w:val="001A2932"/>
    <w:rsid w:val="001C04BB"/>
    <w:rsid w:val="001C7632"/>
    <w:rsid w:val="001D206D"/>
    <w:rsid w:val="001D6AB3"/>
    <w:rsid w:val="001F0DD7"/>
    <w:rsid w:val="001F7DDB"/>
    <w:rsid w:val="0022463A"/>
    <w:rsid w:val="00224FAF"/>
    <w:rsid w:val="00236088"/>
    <w:rsid w:val="00254C1B"/>
    <w:rsid w:val="00293D16"/>
    <w:rsid w:val="002A7252"/>
    <w:rsid w:val="002C1E58"/>
    <w:rsid w:val="002F0749"/>
    <w:rsid w:val="002F145E"/>
    <w:rsid w:val="003238B4"/>
    <w:rsid w:val="00327470"/>
    <w:rsid w:val="00333531"/>
    <w:rsid w:val="003406DF"/>
    <w:rsid w:val="0034410D"/>
    <w:rsid w:val="00345303"/>
    <w:rsid w:val="0035019E"/>
    <w:rsid w:val="0035423C"/>
    <w:rsid w:val="00360526"/>
    <w:rsid w:val="00372D26"/>
    <w:rsid w:val="003D7BEE"/>
    <w:rsid w:val="00406690"/>
    <w:rsid w:val="00410607"/>
    <w:rsid w:val="004346A8"/>
    <w:rsid w:val="00440C39"/>
    <w:rsid w:val="00467EE5"/>
    <w:rsid w:val="004746B8"/>
    <w:rsid w:val="004859DF"/>
    <w:rsid w:val="004B200D"/>
    <w:rsid w:val="004C0FF6"/>
    <w:rsid w:val="004D0B58"/>
    <w:rsid w:val="0050264A"/>
    <w:rsid w:val="00514FFD"/>
    <w:rsid w:val="005374DD"/>
    <w:rsid w:val="00544BD5"/>
    <w:rsid w:val="00573183"/>
    <w:rsid w:val="005A5547"/>
    <w:rsid w:val="005C31A6"/>
    <w:rsid w:val="005D1C80"/>
    <w:rsid w:val="005F49D4"/>
    <w:rsid w:val="005F606C"/>
    <w:rsid w:val="006075BD"/>
    <w:rsid w:val="006259A1"/>
    <w:rsid w:val="00630C77"/>
    <w:rsid w:val="006B244D"/>
    <w:rsid w:val="006B74BC"/>
    <w:rsid w:val="006D0FA6"/>
    <w:rsid w:val="006D7058"/>
    <w:rsid w:val="006F71A8"/>
    <w:rsid w:val="00712AFD"/>
    <w:rsid w:val="00720AE1"/>
    <w:rsid w:val="0072209B"/>
    <w:rsid w:val="00750D75"/>
    <w:rsid w:val="007549FD"/>
    <w:rsid w:val="007627DB"/>
    <w:rsid w:val="00762EE8"/>
    <w:rsid w:val="007A0E96"/>
    <w:rsid w:val="007B0596"/>
    <w:rsid w:val="007B6B26"/>
    <w:rsid w:val="007C0298"/>
    <w:rsid w:val="007C2032"/>
    <w:rsid w:val="00807DD0"/>
    <w:rsid w:val="0081446E"/>
    <w:rsid w:val="00832C75"/>
    <w:rsid w:val="00834408"/>
    <w:rsid w:val="008666E4"/>
    <w:rsid w:val="0087157B"/>
    <w:rsid w:val="00885CA3"/>
    <w:rsid w:val="00893712"/>
    <w:rsid w:val="008949FA"/>
    <w:rsid w:val="008F035F"/>
    <w:rsid w:val="00904ECC"/>
    <w:rsid w:val="009203BC"/>
    <w:rsid w:val="00937C2C"/>
    <w:rsid w:val="009416A0"/>
    <w:rsid w:val="00956959"/>
    <w:rsid w:val="0096562D"/>
    <w:rsid w:val="009D15AD"/>
    <w:rsid w:val="009D548E"/>
    <w:rsid w:val="009E1838"/>
    <w:rsid w:val="009E4147"/>
    <w:rsid w:val="00A4281D"/>
    <w:rsid w:val="00A52CC5"/>
    <w:rsid w:val="00A548C2"/>
    <w:rsid w:val="00A73CD3"/>
    <w:rsid w:val="00A862AC"/>
    <w:rsid w:val="00A94D72"/>
    <w:rsid w:val="00A97F38"/>
    <w:rsid w:val="00AA4E24"/>
    <w:rsid w:val="00AB6857"/>
    <w:rsid w:val="00AF0AA0"/>
    <w:rsid w:val="00AF4EB9"/>
    <w:rsid w:val="00B1522F"/>
    <w:rsid w:val="00B509FC"/>
    <w:rsid w:val="00B50CC9"/>
    <w:rsid w:val="00B74BE0"/>
    <w:rsid w:val="00B82ED9"/>
    <w:rsid w:val="00B9012E"/>
    <w:rsid w:val="00B917CC"/>
    <w:rsid w:val="00B94F9B"/>
    <w:rsid w:val="00BA7E19"/>
    <w:rsid w:val="00BC79F6"/>
    <w:rsid w:val="00BD3DFF"/>
    <w:rsid w:val="00BD5B28"/>
    <w:rsid w:val="00BE711A"/>
    <w:rsid w:val="00BF5603"/>
    <w:rsid w:val="00C07A49"/>
    <w:rsid w:val="00C2505E"/>
    <w:rsid w:val="00C303E6"/>
    <w:rsid w:val="00CA5003"/>
    <w:rsid w:val="00CC1453"/>
    <w:rsid w:val="00CD151D"/>
    <w:rsid w:val="00CD2D76"/>
    <w:rsid w:val="00CE1AA5"/>
    <w:rsid w:val="00D60BFE"/>
    <w:rsid w:val="00D7460F"/>
    <w:rsid w:val="00D959A1"/>
    <w:rsid w:val="00DA058F"/>
    <w:rsid w:val="00DA625F"/>
    <w:rsid w:val="00DB4990"/>
    <w:rsid w:val="00DE63BB"/>
    <w:rsid w:val="00E20FAE"/>
    <w:rsid w:val="00E3147D"/>
    <w:rsid w:val="00E44136"/>
    <w:rsid w:val="00E45498"/>
    <w:rsid w:val="00E661B1"/>
    <w:rsid w:val="00EB08DF"/>
    <w:rsid w:val="00EB6637"/>
    <w:rsid w:val="00EF0022"/>
    <w:rsid w:val="00EF4DD8"/>
    <w:rsid w:val="00F179C6"/>
    <w:rsid w:val="00F33FF4"/>
    <w:rsid w:val="00F66B91"/>
    <w:rsid w:val="00F72AFA"/>
    <w:rsid w:val="00F74DB8"/>
    <w:rsid w:val="00F75E19"/>
    <w:rsid w:val="00F85644"/>
    <w:rsid w:val="00FA0D66"/>
    <w:rsid w:val="00FA337D"/>
    <w:rsid w:val="00FA449D"/>
    <w:rsid w:val="00FC1F0E"/>
    <w:rsid w:val="00FD0644"/>
    <w:rsid w:val="00FD5563"/>
    <w:rsid w:val="00FD7FE3"/>
    <w:rsid w:val="00FE6F70"/>
    <w:rsid w:val="00FF1CD0"/>
    <w:rsid w:val="00FF4A35"/>
    <w:rsid w:val="01636E78"/>
    <w:rsid w:val="01F66ABD"/>
    <w:rsid w:val="025739FF"/>
    <w:rsid w:val="036F2ECE"/>
    <w:rsid w:val="03F90ED4"/>
    <w:rsid w:val="04157D30"/>
    <w:rsid w:val="057F5C95"/>
    <w:rsid w:val="066202F1"/>
    <w:rsid w:val="0765096C"/>
    <w:rsid w:val="0A0A1424"/>
    <w:rsid w:val="0A7F442A"/>
    <w:rsid w:val="0AB72F85"/>
    <w:rsid w:val="0CB50A66"/>
    <w:rsid w:val="0E06452B"/>
    <w:rsid w:val="0E883E64"/>
    <w:rsid w:val="0F4A0B76"/>
    <w:rsid w:val="0FF3674D"/>
    <w:rsid w:val="116F431D"/>
    <w:rsid w:val="119269AA"/>
    <w:rsid w:val="11FF1952"/>
    <w:rsid w:val="14A20BAF"/>
    <w:rsid w:val="14DC6753"/>
    <w:rsid w:val="15B8610B"/>
    <w:rsid w:val="15D04C68"/>
    <w:rsid w:val="16A11295"/>
    <w:rsid w:val="1734526E"/>
    <w:rsid w:val="179B7A92"/>
    <w:rsid w:val="1969287C"/>
    <w:rsid w:val="19707F5D"/>
    <w:rsid w:val="1B364747"/>
    <w:rsid w:val="1B3C2C89"/>
    <w:rsid w:val="1BAD7089"/>
    <w:rsid w:val="1BD05350"/>
    <w:rsid w:val="1DDB51C8"/>
    <w:rsid w:val="1E680F8F"/>
    <w:rsid w:val="1EE753C6"/>
    <w:rsid w:val="1F4673C3"/>
    <w:rsid w:val="1FF90FED"/>
    <w:rsid w:val="2127683B"/>
    <w:rsid w:val="21B24314"/>
    <w:rsid w:val="22336089"/>
    <w:rsid w:val="227E7C52"/>
    <w:rsid w:val="22BE5053"/>
    <w:rsid w:val="24194B61"/>
    <w:rsid w:val="24485436"/>
    <w:rsid w:val="245068F5"/>
    <w:rsid w:val="24C839E2"/>
    <w:rsid w:val="262A02D0"/>
    <w:rsid w:val="2674607E"/>
    <w:rsid w:val="26E05496"/>
    <w:rsid w:val="280F7757"/>
    <w:rsid w:val="29757973"/>
    <w:rsid w:val="2B5D628A"/>
    <w:rsid w:val="2B8D79F9"/>
    <w:rsid w:val="2BB71A4A"/>
    <w:rsid w:val="2C2C2F57"/>
    <w:rsid w:val="2C7A3CC3"/>
    <w:rsid w:val="2E70537D"/>
    <w:rsid w:val="2E81295C"/>
    <w:rsid w:val="303F6767"/>
    <w:rsid w:val="307F7AFA"/>
    <w:rsid w:val="31530A22"/>
    <w:rsid w:val="3293788C"/>
    <w:rsid w:val="33526BA3"/>
    <w:rsid w:val="355A1CB2"/>
    <w:rsid w:val="36587FEE"/>
    <w:rsid w:val="36AE11BD"/>
    <w:rsid w:val="36CE5337"/>
    <w:rsid w:val="37B704C1"/>
    <w:rsid w:val="38A10D84"/>
    <w:rsid w:val="38B16CBE"/>
    <w:rsid w:val="399902A0"/>
    <w:rsid w:val="3A564290"/>
    <w:rsid w:val="3A877D72"/>
    <w:rsid w:val="3BFE4759"/>
    <w:rsid w:val="3CCD4062"/>
    <w:rsid w:val="3CEA462E"/>
    <w:rsid w:val="3F9B06C8"/>
    <w:rsid w:val="404367AC"/>
    <w:rsid w:val="40EB22D9"/>
    <w:rsid w:val="42546730"/>
    <w:rsid w:val="42EC266A"/>
    <w:rsid w:val="430B1915"/>
    <w:rsid w:val="44C554DF"/>
    <w:rsid w:val="44E6304A"/>
    <w:rsid w:val="45294080"/>
    <w:rsid w:val="476D1EFD"/>
    <w:rsid w:val="48036E0A"/>
    <w:rsid w:val="48D663A5"/>
    <w:rsid w:val="4F542EE9"/>
    <w:rsid w:val="51143E36"/>
    <w:rsid w:val="52D5780A"/>
    <w:rsid w:val="53570DD0"/>
    <w:rsid w:val="53607919"/>
    <w:rsid w:val="53933738"/>
    <w:rsid w:val="55740D24"/>
    <w:rsid w:val="563965AB"/>
    <w:rsid w:val="56E11927"/>
    <w:rsid w:val="5753390A"/>
    <w:rsid w:val="59BB4354"/>
    <w:rsid w:val="5A643AA2"/>
    <w:rsid w:val="5ABD553F"/>
    <w:rsid w:val="5B4A3759"/>
    <w:rsid w:val="5B563B41"/>
    <w:rsid w:val="5CBD35D4"/>
    <w:rsid w:val="5D2E41AC"/>
    <w:rsid w:val="5E6E3A1D"/>
    <w:rsid w:val="605E35A7"/>
    <w:rsid w:val="60736014"/>
    <w:rsid w:val="60970262"/>
    <w:rsid w:val="61730705"/>
    <w:rsid w:val="66926DCC"/>
    <w:rsid w:val="66A247B7"/>
    <w:rsid w:val="675A043F"/>
    <w:rsid w:val="67B055FB"/>
    <w:rsid w:val="68D64F8C"/>
    <w:rsid w:val="6D3B2A1F"/>
    <w:rsid w:val="6DA957F2"/>
    <w:rsid w:val="6F5E1CCF"/>
    <w:rsid w:val="70251E61"/>
    <w:rsid w:val="7057373A"/>
    <w:rsid w:val="70AA17BF"/>
    <w:rsid w:val="73001740"/>
    <w:rsid w:val="73AF2DAD"/>
    <w:rsid w:val="75F40514"/>
    <w:rsid w:val="76654669"/>
    <w:rsid w:val="76816FC9"/>
    <w:rsid w:val="77EF4254"/>
    <w:rsid w:val="78785FA7"/>
    <w:rsid w:val="7BEC42D2"/>
    <w:rsid w:val="7C4B22EB"/>
    <w:rsid w:val="7D6A4C5A"/>
    <w:rsid w:val="7E547FD7"/>
    <w:rsid w:val="7FFA051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nhideWhenUsed="0"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ocked="1"/>
    <w:lsdException w:qFormat="1" w:unhideWhenUsed="0" w:uiPriority="99" w:semiHidden="0" w:name="Emphasis" w:locked="1"/>
    <w:lsdException w:uiPriority="99" w:name="Document Map"/>
    <w:lsdException w:qFormat="1" w:unhideWhenUsed="0"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link w:val="22"/>
    <w:qFormat/>
    <w:locked/>
    <w:uiPriority w:val="99"/>
    <w:pPr>
      <w:keepNext/>
      <w:keepLines/>
      <w:spacing w:before="260" w:after="260" w:line="415" w:lineRule="auto"/>
      <w:outlineLvl w:val="1"/>
    </w:pPr>
    <w:rPr>
      <w:rFonts w:ascii="Times New Roman" w:hAnsi="Times New Roman" w:eastAsia="黑体"/>
      <w:b/>
      <w:sz w:val="32"/>
    </w:rPr>
  </w:style>
  <w:style w:type="character" w:default="1" w:styleId="18">
    <w:name w:val="Default Paragraph Font"/>
    <w:semiHidden/>
    <w:qFormat/>
    <w:uiPriority w:val="99"/>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正文缩进1"/>
    <w:basedOn w:val="1"/>
    <w:qFormat/>
    <w:uiPriority w:val="99"/>
    <w:pPr>
      <w:ind w:firstLine="624"/>
      <w:textAlignment w:val="center"/>
    </w:pPr>
  </w:style>
  <w:style w:type="paragraph" w:styleId="4">
    <w:name w:val="index 8"/>
    <w:basedOn w:val="1"/>
    <w:next w:val="1"/>
    <w:qFormat/>
    <w:uiPriority w:val="0"/>
    <w:pPr>
      <w:ind w:left="2940"/>
      <w:jc w:val="left"/>
    </w:pPr>
    <w:rPr>
      <w:rFonts w:hint="eastAsia"/>
    </w:rPr>
  </w:style>
  <w:style w:type="paragraph" w:styleId="5">
    <w:name w:val="Normal Indent"/>
    <w:basedOn w:val="1"/>
    <w:qFormat/>
    <w:uiPriority w:val="99"/>
    <w:pPr>
      <w:ind w:firstLine="420"/>
    </w:pPr>
    <w:rPr>
      <w:szCs w:val="20"/>
    </w:rPr>
  </w:style>
  <w:style w:type="paragraph" w:styleId="6">
    <w:name w:val="Body Text"/>
    <w:basedOn w:val="1"/>
    <w:next w:val="4"/>
    <w:link w:val="23"/>
    <w:qFormat/>
    <w:uiPriority w:val="99"/>
    <w:pPr>
      <w:spacing w:after="120"/>
    </w:pPr>
  </w:style>
  <w:style w:type="paragraph" w:styleId="7">
    <w:name w:val="Body Text Indent"/>
    <w:basedOn w:val="1"/>
    <w:link w:val="24"/>
    <w:qFormat/>
    <w:uiPriority w:val="99"/>
    <w:pPr>
      <w:spacing w:line="560" w:lineRule="exact"/>
      <w:ind w:firstLine="640" w:firstLineChars="200"/>
    </w:pPr>
    <w:rPr>
      <w:rFonts w:eastAsia="仿宋_GB2312"/>
      <w:sz w:val="32"/>
      <w:szCs w:val="22"/>
    </w:rPr>
  </w:style>
  <w:style w:type="paragraph" w:styleId="8">
    <w:name w:val="Plain Text"/>
    <w:basedOn w:val="1"/>
    <w:link w:val="25"/>
    <w:semiHidden/>
    <w:qFormat/>
    <w:uiPriority w:val="99"/>
    <w:rPr>
      <w:rFonts w:ascii="宋体" w:hAnsi="Courier New" w:cs="宋体"/>
      <w:kern w:val="0"/>
    </w:rPr>
  </w:style>
  <w:style w:type="paragraph" w:styleId="9">
    <w:name w:val="List Bullet 5"/>
    <w:basedOn w:val="1"/>
    <w:semiHidden/>
    <w:qFormat/>
    <w:uiPriority w:val="99"/>
    <w:pPr>
      <w:numPr>
        <w:ilvl w:val="0"/>
        <w:numId w:val="1"/>
      </w:numPr>
    </w:pPr>
  </w:style>
  <w:style w:type="paragraph" w:styleId="10">
    <w:name w:val="Date"/>
    <w:basedOn w:val="1"/>
    <w:next w:val="1"/>
    <w:link w:val="26"/>
    <w:qFormat/>
    <w:uiPriority w:val="99"/>
    <w:pPr>
      <w:ind w:left="100" w:leftChars="2500"/>
    </w:pPr>
  </w:style>
  <w:style w:type="paragraph" w:styleId="11">
    <w:name w:val="Body Text Indent 2"/>
    <w:basedOn w:val="1"/>
    <w:next w:val="1"/>
    <w:link w:val="27"/>
    <w:qFormat/>
    <w:uiPriority w:val="99"/>
    <w:pPr>
      <w:spacing w:line="480" w:lineRule="auto"/>
      <w:ind w:left="420" w:leftChars="200"/>
    </w:pPr>
  </w:style>
  <w:style w:type="paragraph" w:styleId="12">
    <w:name w:val="Balloon Text"/>
    <w:basedOn w:val="1"/>
    <w:link w:val="28"/>
    <w:semiHidden/>
    <w:qFormat/>
    <w:uiPriority w:val="99"/>
    <w:rPr>
      <w:kern w:val="0"/>
      <w:sz w:val="2"/>
      <w:szCs w:val="2"/>
    </w:rPr>
  </w:style>
  <w:style w:type="paragraph" w:styleId="13">
    <w:name w:val="footer"/>
    <w:basedOn w:val="1"/>
    <w:link w:val="29"/>
    <w:qFormat/>
    <w:uiPriority w:val="99"/>
    <w:pPr>
      <w:tabs>
        <w:tab w:val="center" w:pos="4153"/>
        <w:tab w:val="right" w:pos="8306"/>
      </w:tabs>
      <w:snapToGrid w:val="0"/>
      <w:jc w:val="left"/>
    </w:pPr>
    <w:rPr>
      <w:kern w:val="0"/>
      <w:sz w:val="18"/>
      <w:szCs w:val="18"/>
    </w:rPr>
  </w:style>
  <w:style w:type="paragraph" w:styleId="14">
    <w:name w:val="header"/>
    <w:basedOn w:val="1"/>
    <w:link w:val="30"/>
    <w:qFormat/>
    <w:uiPriority w:val="99"/>
    <w:pPr>
      <w:pBdr>
        <w:bottom w:val="single" w:color="auto" w:sz="6" w:space="1"/>
      </w:pBdr>
      <w:tabs>
        <w:tab w:val="center" w:pos="4153"/>
        <w:tab w:val="right" w:pos="8306"/>
      </w:tabs>
      <w:snapToGrid w:val="0"/>
      <w:jc w:val="center"/>
    </w:pPr>
    <w:rPr>
      <w:kern w:val="0"/>
      <w:sz w:val="18"/>
      <w:szCs w:val="18"/>
    </w:rPr>
  </w:style>
  <w:style w:type="paragraph" w:styleId="15">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6">
    <w:name w:val="Body Text First Indent 2"/>
    <w:basedOn w:val="1"/>
    <w:next w:val="1"/>
    <w:link w:val="31"/>
    <w:qFormat/>
    <w:uiPriority w:val="99"/>
    <w:pPr>
      <w:ind w:firstLine="420"/>
    </w:pPr>
  </w:style>
  <w:style w:type="character" w:styleId="19">
    <w:name w:val="page number"/>
    <w:basedOn w:val="18"/>
    <w:qFormat/>
    <w:uiPriority w:val="99"/>
    <w:rPr>
      <w:rFonts w:cs="Times New Roman"/>
    </w:rPr>
  </w:style>
  <w:style w:type="character" w:styleId="20">
    <w:name w:val="Emphasis"/>
    <w:basedOn w:val="18"/>
    <w:qFormat/>
    <w:locked/>
    <w:uiPriority w:val="99"/>
    <w:rPr>
      <w:rFonts w:cs="Times New Roman"/>
    </w:rPr>
  </w:style>
  <w:style w:type="character" w:styleId="21">
    <w:name w:val="Hyperlink"/>
    <w:basedOn w:val="18"/>
    <w:semiHidden/>
    <w:unhideWhenUsed/>
    <w:qFormat/>
    <w:uiPriority w:val="99"/>
    <w:rPr>
      <w:color w:val="0000FF"/>
      <w:u w:val="single"/>
    </w:rPr>
  </w:style>
  <w:style w:type="character" w:customStyle="1" w:styleId="22">
    <w:name w:val="Heading 2 Char"/>
    <w:basedOn w:val="18"/>
    <w:link w:val="3"/>
    <w:semiHidden/>
    <w:qFormat/>
    <w:uiPriority w:val="9"/>
    <w:rPr>
      <w:rFonts w:asciiTheme="majorHAnsi" w:hAnsiTheme="majorHAnsi" w:eastAsiaTheme="majorEastAsia" w:cstheme="majorBidi"/>
      <w:b/>
      <w:bCs/>
      <w:sz w:val="32"/>
      <w:szCs w:val="32"/>
    </w:rPr>
  </w:style>
  <w:style w:type="character" w:customStyle="1" w:styleId="23">
    <w:name w:val="Body Text Char"/>
    <w:basedOn w:val="18"/>
    <w:link w:val="6"/>
    <w:semiHidden/>
    <w:qFormat/>
    <w:uiPriority w:val="99"/>
    <w:rPr>
      <w:rFonts w:cs="Calibri"/>
      <w:szCs w:val="21"/>
    </w:rPr>
  </w:style>
  <w:style w:type="character" w:customStyle="1" w:styleId="24">
    <w:name w:val="Body Text Indent Char"/>
    <w:basedOn w:val="18"/>
    <w:link w:val="7"/>
    <w:semiHidden/>
    <w:qFormat/>
    <w:uiPriority w:val="99"/>
    <w:rPr>
      <w:rFonts w:cs="Calibri"/>
      <w:szCs w:val="21"/>
    </w:rPr>
  </w:style>
  <w:style w:type="character" w:customStyle="1" w:styleId="25">
    <w:name w:val="Plain Text Char"/>
    <w:basedOn w:val="18"/>
    <w:link w:val="8"/>
    <w:semiHidden/>
    <w:qFormat/>
    <w:locked/>
    <w:uiPriority w:val="99"/>
    <w:rPr>
      <w:rFonts w:ascii="宋体" w:hAnsi="Courier New" w:eastAsia="宋体" w:cs="宋体"/>
      <w:sz w:val="21"/>
      <w:szCs w:val="21"/>
      <w:lang w:val="en-US" w:eastAsia="zh-CN"/>
    </w:rPr>
  </w:style>
  <w:style w:type="character" w:customStyle="1" w:styleId="26">
    <w:name w:val="Date Char"/>
    <w:basedOn w:val="18"/>
    <w:link w:val="10"/>
    <w:semiHidden/>
    <w:qFormat/>
    <w:locked/>
    <w:uiPriority w:val="99"/>
    <w:rPr>
      <w:rFonts w:cs="Times New Roman"/>
    </w:rPr>
  </w:style>
  <w:style w:type="character" w:customStyle="1" w:styleId="27">
    <w:name w:val="Body Text Indent 2 Char"/>
    <w:basedOn w:val="18"/>
    <w:link w:val="11"/>
    <w:semiHidden/>
    <w:qFormat/>
    <w:uiPriority w:val="99"/>
    <w:rPr>
      <w:rFonts w:cs="Calibri"/>
      <w:szCs w:val="21"/>
    </w:rPr>
  </w:style>
  <w:style w:type="character" w:customStyle="1" w:styleId="28">
    <w:name w:val="Balloon Text Char"/>
    <w:basedOn w:val="18"/>
    <w:link w:val="12"/>
    <w:semiHidden/>
    <w:qFormat/>
    <w:locked/>
    <w:uiPriority w:val="99"/>
    <w:rPr>
      <w:rFonts w:cs="Times New Roman"/>
      <w:sz w:val="2"/>
      <w:szCs w:val="2"/>
    </w:rPr>
  </w:style>
  <w:style w:type="character" w:customStyle="1" w:styleId="29">
    <w:name w:val="Footer Char"/>
    <w:basedOn w:val="18"/>
    <w:link w:val="13"/>
    <w:semiHidden/>
    <w:qFormat/>
    <w:locked/>
    <w:uiPriority w:val="99"/>
    <w:rPr>
      <w:rFonts w:cs="Times New Roman"/>
      <w:sz w:val="18"/>
      <w:szCs w:val="18"/>
    </w:rPr>
  </w:style>
  <w:style w:type="character" w:customStyle="1" w:styleId="30">
    <w:name w:val="Header Char"/>
    <w:basedOn w:val="18"/>
    <w:link w:val="14"/>
    <w:semiHidden/>
    <w:qFormat/>
    <w:locked/>
    <w:uiPriority w:val="99"/>
    <w:rPr>
      <w:rFonts w:cs="Times New Roman"/>
      <w:sz w:val="18"/>
      <w:szCs w:val="18"/>
    </w:rPr>
  </w:style>
  <w:style w:type="character" w:customStyle="1" w:styleId="31">
    <w:name w:val="Body Text First Indent 2 Char"/>
    <w:basedOn w:val="24"/>
    <w:link w:val="16"/>
    <w:semiHidden/>
    <w:qFormat/>
    <w:uiPriority w:val="99"/>
  </w:style>
  <w:style w:type="character" w:customStyle="1" w:styleId="32">
    <w:name w:val="NormalCharacter"/>
    <w:semiHidden/>
    <w:qFormat/>
    <w:uiPriority w:val="99"/>
    <w:rPr>
      <w:rFonts w:ascii="Times New Roman" w:hAnsi="Times New Roman" w:eastAsia="宋体"/>
      <w:kern w:val="2"/>
      <w:sz w:val="24"/>
      <w:lang w:val="en-US" w:eastAsia="zh-CN"/>
    </w:rPr>
  </w:style>
  <w:style w:type="character" w:customStyle="1" w:styleId="33">
    <w:name w:val="font21"/>
    <w:basedOn w:val="18"/>
    <w:qFormat/>
    <w:uiPriority w:val="99"/>
    <w:rPr>
      <w:rFonts w:ascii="仿宋_GB2312" w:eastAsia="仿宋_GB2312" w:cs="仿宋_GB2312"/>
      <w:b/>
      <w:bCs/>
      <w:color w:val="000000"/>
      <w:sz w:val="28"/>
      <w:szCs w:val="28"/>
      <w:u w:val="none"/>
    </w:rPr>
  </w:style>
  <w:style w:type="character" w:customStyle="1" w:styleId="34">
    <w:name w:val="font51"/>
    <w:basedOn w:val="18"/>
    <w:qFormat/>
    <w:uiPriority w:val="99"/>
    <w:rPr>
      <w:rFonts w:ascii="方正小标宋简体" w:eastAsia="方正小标宋简体" w:cs="Times New Roman"/>
      <w:color w:val="000000"/>
      <w:sz w:val="32"/>
      <w:szCs w:val="32"/>
      <w:u w:val="none"/>
    </w:rPr>
  </w:style>
  <w:style w:type="paragraph" w:customStyle="1" w:styleId="35">
    <w:name w:val="正文首行缩进 21"/>
    <w:basedOn w:val="1"/>
    <w:qFormat/>
    <w:uiPriority w:val="99"/>
    <w:pPr>
      <w:ind w:firstLine="420" w:firstLineChars="200"/>
    </w:pPr>
    <w:rPr>
      <w:kern w:val="0"/>
      <w:sz w:val="20"/>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Sky123.Org</Company>
  <Pages>17</Pages>
  <Words>7260</Words>
  <Characters>8510</Characters>
  <Lines>0</Lines>
  <Paragraphs>0</Paragraphs>
  <TotalTime>14</TotalTime>
  <ScaleCrop>false</ScaleCrop>
  <LinksUpToDate>false</LinksUpToDate>
  <CharactersWithSpaces>8648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2016-05-13T08:21:00Z</dcterms:created>
  <dc:creator>Sky123.Org</dc:creator>
  <cp:lastModifiedBy>李晚儿</cp:lastModifiedBy>
  <cp:lastPrinted>2024-07-23T08:23:00Z</cp:lastPrinted>
  <dcterms:modified xsi:type="dcterms:W3CDTF">2024-07-23T08:42:22Z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9E028AA0407D4368B69B8404181540B8_13</vt:lpwstr>
  </property>
</Properties>
</file>